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9E" w:rsidRDefault="00A1309E" w:rsidP="00F77B40">
      <w:pPr>
        <w:spacing w:line="360" w:lineRule="auto"/>
        <w:jc w:val="center"/>
        <w:rPr>
          <w:sz w:val="18"/>
          <w:lang w:eastAsia="es-SV"/>
        </w:rPr>
      </w:pPr>
    </w:p>
    <w:p w:rsidR="00F77B40" w:rsidRPr="000D3101" w:rsidRDefault="0075297F" w:rsidP="00F77B40">
      <w:pPr>
        <w:spacing w:line="360" w:lineRule="auto"/>
        <w:jc w:val="center"/>
        <w:rPr>
          <w:rFonts w:ascii="Arial" w:eastAsia="Calibri" w:hAnsi="Arial" w:cs="Arial"/>
          <w:b/>
          <w:sz w:val="20"/>
          <w:szCs w:val="22"/>
          <w:lang w:val="es-SV" w:eastAsia="es-SV"/>
        </w:rPr>
      </w:pPr>
      <w:r>
        <w:rPr>
          <w:rFonts w:ascii="Arial" w:hAnsi="Arial" w:cs="Arial"/>
          <w:b/>
          <w:sz w:val="20"/>
          <w:lang w:eastAsia="es-SV"/>
        </w:rPr>
        <w:t>Intervención</w:t>
      </w:r>
      <w:r w:rsidR="009F5FC1" w:rsidRPr="000D3101">
        <w:rPr>
          <w:rFonts w:ascii="Arial" w:hAnsi="Arial" w:cs="Arial"/>
          <w:b/>
          <w:sz w:val="20"/>
          <w:lang w:eastAsia="es-SV"/>
        </w:rPr>
        <w:t xml:space="preserve"> del </w:t>
      </w:r>
      <w:r w:rsidR="00A1309E" w:rsidRPr="000D3101">
        <w:rPr>
          <w:rFonts w:ascii="Arial" w:hAnsi="Arial" w:cs="Arial"/>
          <w:b/>
          <w:sz w:val="20"/>
          <w:lang w:eastAsia="es-SV"/>
        </w:rPr>
        <w:t>Señor Ministro</w:t>
      </w:r>
      <w:r w:rsidR="00F77B40" w:rsidRPr="000D3101">
        <w:rPr>
          <w:rFonts w:ascii="Arial" w:hAnsi="Arial" w:cs="Arial"/>
          <w:b/>
          <w:sz w:val="20"/>
          <w:lang w:eastAsia="es-SV"/>
        </w:rPr>
        <w:t xml:space="preserve"> de Hacienda, </w:t>
      </w:r>
      <w:r w:rsidR="009F5FC1" w:rsidRPr="000D3101">
        <w:rPr>
          <w:rFonts w:ascii="Arial" w:eastAsia="Calibri" w:hAnsi="Arial" w:cs="Arial"/>
          <w:b/>
          <w:sz w:val="20"/>
          <w:szCs w:val="22"/>
          <w:lang w:val="es-SV" w:eastAsia="es-SV"/>
        </w:rPr>
        <w:t>Lic. Nelson Fuentes</w:t>
      </w:r>
    </w:p>
    <w:p w:rsidR="009F5FC1" w:rsidRPr="000D3101" w:rsidRDefault="0075297F" w:rsidP="00F77B40">
      <w:pPr>
        <w:pStyle w:val="Sinespaciado"/>
        <w:jc w:val="center"/>
        <w:rPr>
          <w:rFonts w:ascii="Arial" w:eastAsia="Times New Roman" w:hAnsi="Arial" w:cs="Arial"/>
          <w:b/>
          <w:sz w:val="20"/>
          <w:szCs w:val="24"/>
          <w:lang w:val="es-ES" w:eastAsia="es-SV"/>
        </w:rPr>
      </w:pPr>
      <w:r w:rsidRPr="0075297F">
        <w:rPr>
          <w:rFonts w:ascii="Arial" w:eastAsia="Times New Roman" w:hAnsi="Arial" w:cs="Arial"/>
          <w:b/>
          <w:sz w:val="20"/>
          <w:szCs w:val="24"/>
          <w:u w:val="single"/>
          <w:lang w:val="es-ES" w:eastAsia="es-SV"/>
        </w:rPr>
        <w:t>DIÁLOGO REGIONAL DE POLÍTICA DE GESTIÓN DEL RIESGO DE DESASTRES: “RIESGO DE SEQUÍA EN CA Y MEDIDAS PARA REDUCIR EL RIESGO”.</w:t>
      </w:r>
    </w:p>
    <w:p w:rsidR="0075297F" w:rsidRDefault="0075297F" w:rsidP="00F77B40">
      <w:pPr>
        <w:pStyle w:val="Sinespaciado"/>
        <w:jc w:val="center"/>
        <w:rPr>
          <w:rFonts w:ascii="Arial" w:eastAsia="Times New Roman" w:hAnsi="Arial" w:cs="Arial"/>
          <w:b/>
          <w:sz w:val="20"/>
          <w:szCs w:val="24"/>
          <w:lang w:val="es-ES" w:eastAsia="es-SV"/>
        </w:rPr>
      </w:pPr>
    </w:p>
    <w:p w:rsidR="00F77B40" w:rsidRPr="000D3101" w:rsidRDefault="00F77B40" w:rsidP="00F77B40">
      <w:pPr>
        <w:pStyle w:val="Sinespaciado"/>
        <w:jc w:val="center"/>
        <w:rPr>
          <w:rFonts w:ascii="Arial" w:eastAsia="Times New Roman" w:hAnsi="Arial" w:cs="Arial"/>
          <w:b/>
          <w:sz w:val="20"/>
          <w:szCs w:val="24"/>
          <w:lang w:val="es-ES" w:eastAsia="es-SV"/>
        </w:rPr>
      </w:pPr>
      <w:r w:rsidRPr="000D3101">
        <w:rPr>
          <w:rFonts w:ascii="Arial" w:eastAsia="Times New Roman" w:hAnsi="Arial" w:cs="Arial"/>
          <w:b/>
          <w:sz w:val="20"/>
          <w:szCs w:val="24"/>
          <w:lang w:val="es-ES" w:eastAsia="es-SV"/>
        </w:rPr>
        <w:t xml:space="preserve">Lugar: </w:t>
      </w:r>
      <w:r w:rsidR="0075297F">
        <w:rPr>
          <w:rFonts w:ascii="Arial" w:eastAsia="Times New Roman" w:hAnsi="Arial" w:cs="Arial"/>
          <w:b/>
          <w:sz w:val="20"/>
          <w:szCs w:val="24"/>
          <w:lang w:val="es-ES" w:eastAsia="es-SV"/>
        </w:rPr>
        <w:t>Hotel Crowne Plaza</w:t>
      </w:r>
    </w:p>
    <w:p w:rsidR="00F77B40" w:rsidRPr="000D3101" w:rsidRDefault="0075297F" w:rsidP="00F77B40">
      <w:pPr>
        <w:pStyle w:val="Sinespaciado"/>
        <w:jc w:val="center"/>
        <w:rPr>
          <w:rFonts w:ascii="Arial" w:eastAsia="Times New Roman" w:hAnsi="Arial" w:cs="Arial"/>
          <w:b/>
          <w:sz w:val="20"/>
          <w:szCs w:val="24"/>
          <w:lang w:val="es-ES" w:eastAsia="es-SV"/>
        </w:rPr>
      </w:pPr>
      <w:r>
        <w:rPr>
          <w:rFonts w:ascii="Arial" w:eastAsia="Times New Roman" w:hAnsi="Arial" w:cs="Arial"/>
          <w:b/>
          <w:sz w:val="20"/>
          <w:szCs w:val="24"/>
          <w:lang w:val="es-ES" w:eastAsia="es-SV"/>
        </w:rPr>
        <w:t>Jueves 15 de noviembre de 2018</w:t>
      </w:r>
    </w:p>
    <w:p w:rsidR="00F77B40" w:rsidRPr="00F77B40" w:rsidRDefault="00F77B40" w:rsidP="00F77B40">
      <w:pPr>
        <w:autoSpaceDE w:val="0"/>
        <w:autoSpaceDN w:val="0"/>
        <w:adjustRightInd w:val="0"/>
        <w:ind w:right="-377"/>
        <w:jc w:val="both"/>
        <w:rPr>
          <w:sz w:val="18"/>
          <w:lang w:eastAsia="es-SV"/>
        </w:rPr>
      </w:pPr>
    </w:p>
    <w:p w:rsidR="00F77B40" w:rsidRPr="00F77B40" w:rsidRDefault="00F77B40" w:rsidP="00640B23">
      <w:pPr>
        <w:spacing w:line="360" w:lineRule="auto"/>
        <w:jc w:val="center"/>
        <w:rPr>
          <w:sz w:val="18"/>
          <w:lang w:eastAsia="es-SV"/>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EL SALVADOR ES UNA PAÍS EN VIAS DE DESARROLLO, CON ENORMES POTENCIALES, LO CUALES BUSCAN FORTALECER CON CADA POLÍTICA PÚBLICA Y DECISIONES GUBERNAMENTALES QUE SE TOMEN, EN ARAS DE QUE NUESTRA POBLACIÓN PROGRESE. NO OBSTANTE, ES UN TERRITORIO EXPUESTO A MÚLTIPLES AMENAZAS NATURALES COMO: TERREMOTOS, LLUVIAS TORRENCIALES, SEQUÍAS, DESLIZAMIENTOS, ERUPCIONES VOLCÁNICAS, ENTRE OTRAS, QUE AFECTAN EL DESARROLLO ECONÓMICO Y SOCIAL DEL PAÍS, COLOCANDO A SU POBLACIÓN EN NIVELES SUPERIORES DE VULNERABILIDAD.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EL </w:t>
      </w:r>
      <w:r w:rsidRPr="0075297F">
        <w:rPr>
          <w:rFonts w:cs="Calibri"/>
          <w:i/>
          <w:sz w:val="36"/>
          <w:szCs w:val="36"/>
        </w:rPr>
        <w:t>INFORME NACIONAL DEL ESTADO DE LOS RIESGOS Y VULNERABILIDADES</w:t>
      </w:r>
      <w:r w:rsidRPr="0075297F">
        <w:rPr>
          <w:rFonts w:cs="Calibri"/>
          <w:sz w:val="36"/>
          <w:szCs w:val="36"/>
        </w:rPr>
        <w:t xml:space="preserve">, EMITIDO POR EL MINISTERIO DE MEDIO AMBIENTE Y RECURSOS NATURALES, IDENTIFICA QUE EL </w:t>
      </w:r>
      <w:r w:rsidRPr="0075297F">
        <w:rPr>
          <w:rFonts w:cs="Calibri"/>
          <w:b/>
          <w:sz w:val="36"/>
          <w:szCs w:val="36"/>
        </w:rPr>
        <w:t>63%</w:t>
      </w:r>
      <w:r w:rsidRPr="0075297F">
        <w:rPr>
          <w:rFonts w:cs="Calibri"/>
          <w:sz w:val="36"/>
          <w:szCs w:val="36"/>
        </w:rPr>
        <w:t xml:space="preserve"> DEL TERRITORIO ESTÁ EXPUESTO A AMENAZA SÍSMICA ALTA O MUY ALTA, EL </w:t>
      </w:r>
      <w:r w:rsidRPr="0075297F">
        <w:rPr>
          <w:rFonts w:cs="Calibri"/>
          <w:b/>
          <w:sz w:val="36"/>
          <w:szCs w:val="36"/>
        </w:rPr>
        <w:t xml:space="preserve">35 % </w:t>
      </w:r>
      <w:r w:rsidRPr="0075297F">
        <w:rPr>
          <w:rFonts w:cs="Calibri"/>
          <w:sz w:val="36"/>
          <w:szCs w:val="36"/>
        </w:rPr>
        <w:t xml:space="preserve">ES SUSCEPTIBLE A SEQUÍA FUERTE, UN </w:t>
      </w:r>
      <w:r w:rsidRPr="0075297F">
        <w:rPr>
          <w:rFonts w:cs="Calibri"/>
          <w:b/>
          <w:sz w:val="36"/>
          <w:szCs w:val="36"/>
        </w:rPr>
        <w:t>38%</w:t>
      </w:r>
      <w:r w:rsidRPr="0075297F">
        <w:rPr>
          <w:rFonts w:cs="Calibri"/>
          <w:sz w:val="36"/>
          <w:szCs w:val="36"/>
        </w:rPr>
        <w:t xml:space="preserve"> TIENDE A REGISTRAR </w:t>
      </w:r>
      <w:r w:rsidRPr="0075297F">
        <w:rPr>
          <w:rFonts w:cs="Calibri"/>
          <w:sz w:val="36"/>
          <w:szCs w:val="36"/>
        </w:rPr>
        <w:lastRenderedPageBreak/>
        <w:t xml:space="preserve">DESLIZAMIENTOS Y EL </w:t>
      </w:r>
      <w:r w:rsidRPr="0075297F">
        <w:rPr>
          <w:rFonts w:cs="Calibri"/>
          <w:b/>
          <w:sz w:val="36"/>
          <w:szCs w:val="36"/>
        </w:rPr>
        <w:t>15%</w:t>
      </w:r>
      <w:r w:rsidRPr="0075297F">
        <w:rPr>
          <w:rFonts w:cs="Calibri"/>
          <w:sz w:val="36"/>
          <w:szCs w:val="36"/>
        </w:rPr>
        <w:t xml:space="preserve"> EN ALTA Y MUY ALTA SUSCEPTIBILIDAD A INUNDACIONES.</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LA POSICIÓN GEOGRÁFICA DE EL SALVADOR, EN EL CORAZÓN DEL CORREDOR SECO DE CENTROAMÉRICA, LO HACE </w:t>
      </w:r>
      <w:bookmarkStart w:id="0" w:name="_GoBack"/>
      <w:bookmarkEnd w:id="0"/>
      <w:r w:rsidRPr="0075297F">
        <w:rPr>
          <w:rFonts w:cs="Calibri"/>
          <w:sz w:val="36"/>
          <w:szCs w:val="36"/>
        </w:rPr>
        <w:t xml:space="preserve">MÁS VULNERABLE ANTE LOS FENÓMENOS DEL CAMBIO CLIMÁTICO QUE AFECTAN, POR EJEMPLO, A LA AGRICULTURA.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DE ACUERDO CON LA FAO, </w:t>
      </w:r>
      <w:r w:rsidRPr="0075297F">
        <w:rPr>
          <w:rFonts w:cs="Calibri"/>
          <w:b/>
          <w:sz w:val="36"/>
          <w:szCs w:val="36"/>
        </w:rPr>
        <w:t>EL SALVADOR HA SIDO EL PAÍS MÁS IMPACTADO POR LA SEQUÍA EN EL ISTMO… ES EL ÚNICO PAÍS DE CENTROAMÉRICA DONDE CASI TODO SU TERRITORIO ESTÁ OCUPADO POR EL CORREDOR SECO</w:t>
      </w:r>
      <w:r w:rsidRPr="0075297F">
        <w:rPr>
          <w:rFonts w:cs="Calibri"/>
          <w:sz w:val="36"/>
          <w:szCs w:val="36"/>
        </w:rPr>
        <w:t xml:space="preserve">… Y CUANDO SE DAN </w:t>
      </w:r>
      <w:r w:rsidRPr="0075297F">
        <w:rPr>
          <w:rFonts w:cs="Calibri"/>
          <w:b/>
          <w:sz w:val="36"/>
          <w:szCs w:val="36"/>
        </w:rPr>
        <w:t>PERÍODOS PROLONGADOS DE SEQUÍA, EL PAÍS ES EL QUE RESULTA MAYORMENTE AFECTADO EN LA REGIÓN</w:t>
      </w:r>
      <w:r w:rsidRPr="0075297F">
        <w:rPr>
          <w:rFonts w:cs="Calibri"/>
          <w:sz w:val="36"/>
          <w:szCs w:val="36"/>
        </w:rPr>
        <w:t>.</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EN LA ÚLTIMA DÉCADA, SE REGISTRARON TRES AÑOS CONTINUOS DE EVENTOS LLUVIOSOS EXTREMOS CON IMPACTOS SEVEROS POR INUNDACIONES, ENTRE 2009 Y 2011. LUEGO, DURANTE CUATRO AÑOS, PREDOMINARON COMPORTAMIENTOS E </w:t>
      </w:r>
      <w:r w:rsidRPr="0075297F">
        <w:rPr>
          <w:rFonts w:cs="Calibri"/>
          <w:b/>
          <w:sz w:val="36"/>
          <w:szCs w:val="36"/>
        </w:rPr>
        <w:t>IMPACTOS DE SEQUÍA, ENTRE 2012 Y 2015,</w:t>
      </w:r>
      <w:r w:rsidRPr="0075297F">
        <w:rPr>
          <w:rFonts w:cs="Calibri"/>
          <w:sz w:val="36"/>
          <w:szCs w:val="36"/>
        </w:rPr>
        <w:t xml:space="preserve"> CON FUERTES IMPLICACIONES </w:t>
      </w:r>
      <w:r w:rsidRPr="0075297F">
        <w:rPr>
          <w:rFonts w:cs="Calibri"/>
          <w:sz w:val="36"/>
          <w:szCs w:val="36"/>
        </w:rPr>
        <w:lastRenderedPageBreak/>
        <w:t xml:space="preserve">SOCIOECONÓMICAS, ESPECIALMENTE EN COMUNIDADES VULNERABLES.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ESTE </w:t>
      </w:r>
      <w:r w:rsidRPr="0075297F">
        <w:rPr>
          <w:rFonts w:cs="Calibri"/>
          <w:b/>
          <w:sz w:val="36"/>
          <w:szCs w:val="36"/>
        </w:rPr>
        <w:t>AÑO, LA MATRIZ PRODUCTIVA AGRÍCOLA SE VIO AFECTADA POR LA DEFICIENCIA DE LLUVIA DURANTE LOS MESES DE JUNIO Y JULIO</w:t>
      </w:r>
      <w:r w:rsidRPr="0075297F">
        <w:rPr>
          <w:rFonts w:cs="Calibri"/>
          <w:sz w:val="36"/>
          <w:szCs w:val="36"/>
        </w:rPr>
        <w:t xml:space="preserve"> Y DE ACUERDO CON ESTIMACIONES DEL MAG, </w:t>
      </w:r>
      <w:r w:rsidRPr="0075297F">
        <w:rPr>
          <w:rFonts w:cs="Calibri"/>
          <w:b/>
          <w:sz w:val="36"/>
          <w:szCs w:val="36"/>
        </w:rPr>
        <w:t>SE VIERON AFECTADOS MÁS DE 98 MIL PRODUCTORES DE GRANOS BÁSICOS, EN 12 DEPARTAMENTOS DEL PAÍS, CON UNA PÉRDIDA ECONÓMICA ESTIMADA DE  42 MILLONES</w:t>
      </w:r>
      <w:r w:rsidRPr="0075297F">
        <w:rPr>
          <w:rFonts w:cs="Calibri"/>
          <w:sz w:val="36"/>
          <w:szCs w:val="36"/>
        </w:rPr>
        <w:t xml:space="preserve"> DE DÓLARES.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bCs/>
          <w:sz w:val="36"/>
          <w:szCs w:val="36"/>
        </w:rPr>
      </w:pPr>
      <w:r w:rsidRPr="0075297F">
        <w:rPr>
          <w:rFonts w:cs="Calibri"/>
          <w:bCs/>
          <w:sz w:val="36"/>
          <w:szCs w:val="36"/>
        </w:rPr>
        <w:t xml:space="preserve">LA CUANTIFICACIÓN DE PÉRDIDAS POR LA </w:t>
      </w:r>
      <w:r w:rsidRPr="0075297F">
        <w:rPr>
          <w:rFonts w:cs="Calibri"/>
          <w:b/>
          <w:bCs/>
          <w:sz w:val="36"/>
          <w:szCs w:val="36"/>
        </w:rPr>
        <w:t>SEQUÍA DE 2001</w:t>
      </w:r>
      <w:r w:rsidRPr="0075297F">
        <w:rPr>
          <w:rFonts w:cs="Calibri"/>
          <w:bCs/>
          <w:sz w:val="36"/>
          <w:szCs w:val="36"/>
        </w:rPr>
        <w:t xml:space="preserve"> ASCENDIÓ A </w:t>
      </w:r>
      <w:r w:rsidRPr="0075297F">
        <w:rPr>
          <w:rFonts w:cs="Calibri"/>
          <w:b/>
          <w:bCs/>
          <w:sz w:val="36"/>
          <w:szCs w:val="36"/>
        </w:rPr>
        <w:t>38.1 MILLONES</w:t>
      </w:r>
      <w:r w:rsidRPr="0075297F">
        <w:rPr>
          <w:rFonts w:cs="Calibri"/>
          <w:bCs/>
          <w:sz w:val="36"/>
          <w:szCs w:val="36"/>
        </w:rPr>
        <w:t xml:space="preserve"> DE DOLARES (CEPAL, 2010), Y LAS ESTIMACIONES PARA LOS EVENTOS MÁS RECIENTES REGISTRAN UN INCREMENTO POR PÉRDIDAS DE MÁS </w:t>
      </w:r>
      <w:r w:rsidRPr="0075297F">
        <w:rPr>
          <w:rFonts w:cs="Calibri"/>
          <w:b/>
          <w:bCs/>
          <w:sz w:val="36"/>
          <w:szCs w:val="36"/>
        </w:rPr>
        <w:t>70 MILLONES EN 2014 Y DE MÁS DE 75 MILLONES DE DÓLARES EN 2015</w:t>
      </w:r>
      <w:r w:rsidRPr="0075297F">
        <w:rPr>
          <w:rFonts w:cs="Calibri"/>
          <w:bCs/>
          <w:sz w:val="36"/>
          <w:szCs w:val="36"/>
        </w:rPr>
        <w:t xml:space="preserve"> (MARN-DGOA, 2016).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b/>
          <w:sz w:val="36"/>
          <w:szCs w:val="36"/>
        </w:rPr>
        <w:t>ESTE TIPO DE EVENTOS EXIGE UNA VISIÓN Y UNA GESTIÓN INTEGRAL DEL RIESGO ANTE DESASTRES DEBIDO YA QUE EN LOS ÚLTIMOS AÑOS HAN AUMENTADO SU FRECUENCIA Y GRAVEDAD</w:t>
      </w:r>
      <w:r w:rsidRPr="0075297F">
        <w:rPr>
          <w:rFonts w:cs="Calibri"/>
          <w:sz w:val="36"/>
          <w:szCs w:val="36"/>
        </w:rPr>
        <w:t xml:space="preserve">. ADEMÁS, ESTOS REPRESENTAN UN POTENCIAL RIESGO, QUE </w:t>
      </w:r>
      <w:r w:rsidRPr="0075297F">
        <w:rPr>
          <w:rFonts w:cs="Calibri"/>
          <w:b/>
          <w:sz w:val="36"/>
          <w:szCs w:val="36"/>
        </w:rPr>
        <w:t xml:space="preserve">AFECTARÍA PRINCIPALMENTE LAS CUENTAS FISCALES, </w:t>
      </w:r>
      <w:r w:rsidRPr="0075297F">
        <w:rPr>
          <w:rFonts w:cs="Calibri"/>
          <w:b/>
          <w:sz w:val="36"/>
          <w:szCs w:val="36"/>
        </w:rPr>
        <w:lastRenderedPageBreak/>
        <w:t>EL CRECIMIENTO DE LA ECONOMÍA Y LA SOSTENIBILIDAD DE LAS FINANZAS PÚBLICAS</w:t>
      </w:r>
      <w:r w:rsidRPr="0075297F">
        <w:rPr>
          <w:rFonts w:cs="Calibri"/>
          <w:sz w:val="36"/>
          <w:szCs w:val="36"/>
        </w:rPr>
        <w:t xml:space="preserve">.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COMO MINISTERIO DE HACIENDA ESTAMOS CONSCIENTES DE ESTA REALIDAD Y CON EL COMPROMISO POR AUMENTAR LA </w:t>
      </w:r>
      <w:r w:rsidRPr="0075297F">
        <w:rPr>
          <w:rFonts w:cs="Calibri"/>
          <w:b/>
          <w:sz w:val="36"/>
          <w:szCs w:val="36"/>
        </w:rPr>
        <w:t>RESILIENCIA DE LAS FINANZAS PÚBLICAS</w:t>
      </w:r>
      <w:r w:rsidRPr="0075297F">
        <w:rPr>
          <w:rFonts w:cs="Calibri"/>
          <w:sz w:val="36"/>
          <w:szCs w:val="36"/>
        </w:rPr>
        <w:t xml:space="preserve">, ESTAMOS CONVENCIDOS DE LA IMPORTANCIA DE REALIZAR UNA </w:t>
      </w:r>
      <w:r w:rsidRPr="0075297F">
        <w:rPr>
          <w:rFonts w:cs="Calibri"/>
          <w:b/>
          <w:sz w:val="36"/>
          <w:szCs w:val="36"/>
        </w:rPr>
        <w:t>GESTIÓN INTEGRAL DE LOS RIESGOS FISCALES</w:t>
      </w:r>
      <w:r w:rsidRPr="0075297F">
        <w:rPr>
          <w:rFonts w:cs="Calibri"/>
          <w:sz w:val="36"/>
          <w:szCs w:val="36"/>
        </w:rPr>
        <w:t xml:space="preserve">, INCLUYENDO LOS ASOCIADOS A DESASTRES.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EL MINISTERIO DE HACIENDA HA ESTIMADO EL </w:t>
      </w:r>
      <w:r w:rsidRPr="0075297F">
        <w:rPr>
          <w:rFonts w:cs="Calibri"/>
          <w:b/>
          <w:sz w:val="36"/>
          <w:szCs w:val="36"/>
        </w:rPr>
        <w:t>POTENCIAL IMPACTO MACROFISCAL QUE PODRÍAN GENERAR EVENTOS ASOCIADOS A DESASTRES EN LOS PRINCIPALES AGREGADOS ECONÓMICOS</w:t>
      </w:r>
      <w:r w:rsidRPr="0075297F">
        <w:rPr>
          <w:rFonts w:cs="Calibri"/>
          <w:sz w:val="36"/>
          <w:szCs w:val="36"/>
        </w:rPr>
        <w:t xml:space="preserve">, IDENTIFICANDO LAS POTENCIALES DESVIACIONES QUE PODRÍAN SUFRIR LAS PROYECCIONES DE CRECIMIENTO, DÉFICIT Y DEUDA, CON LA FINALIDAD DE EVITAR IMPREVISTOS EN LA POLÍTICA FISCAL QUE GENEREN INESTABILIDAD.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CON BASE EN LA PÉRDIDA ESTIMADA POR LA SEQUÍA 2018 (US$ 42.35 MILLONES), LAS </w:t>
      </w:r>
      <w:r w:rsidRPr="0075297F">
        <w:rPr>
          <w:rFonts w:cs="Calibri"/>
          <w:b/>
          <w:sz w:val="36"/>
          <w:szCs w:val="36"/>
        </w:rPr>
        <w:t>PROYECCIONES DE CRECIMIENTO PARA EL 2018 PODRÍAN REDUCIRSE EN 0.16 PUNTOS PORCENTUALES RESPECTO A LA SITUACIÓN SIN EVENTO</w:t>
      </w:r>
      <w:r w:rsidRPr="0075297F">
        <w:rPr>
          <w:rFonts w:cs="Calibri"/>
          <w:sz w:val="36"/>
          <w:szCs w:val="36"/>
        </w:rPr>
        <w:t xml:space="preserve">. LAS MEDIDAS DE RESPUESTA AL </w:t>
      </w:r>
      <w:r w:rsidRPr="0075297F">
        <w:rPr>
          <w:rFonts w:cs="Calibri"/>
          <w:sz w:val="36"/>
          <w:szCs w:val="36"/>
        </w:rPr>
        <w:lastRenderedPageBreak/>
        <w:t xml:space="preserve">EVENTO, A TRAVÉS DE MAYOR GASTO PÚBLICO, GENERARÍAN UN </w:t>
      </w:r>
      <w:r w:rsidRPr="0075297F">
        <w:rPr>
          <w:rFonts w:cs="Calibri"/>
          <w:b/>
          <w:sz w:val="36"/>
          <w:szCs w:val="36"/>
        </w:rPr>
        <w:t>AUMENTO DEL DÉFICIT FISCAL DE 0.03 PUNTOS PORCENTUALES DEL PIB</w:t>
      </w:r>
      <w:r w:rsidRPr="0075297F">
        <w:rPr>
          <w:rFonts w:cs="Calibri"/>
          <w:sz w:val="36"/>
          <w:szCs w:val="36"/>
        </w:rPr>
        <w:t>. DE ASUMIR LA EXPANSIÓN DEL GASTO CON ENDEUDAMIENTO, LA DEUDA PÚBLICA SOBRE PIB SE UBICARÍA ALREDEDOR DE 0.10 PUNTOS PORCENTUALES POR ENCIMA DE LO ESTIMADO SIN LA OCURRENCIA DEL EVENTO.</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LOS DATOS Y LA EXPERIENCIA HAN DEMOSTRADO QUE, LOS COSTOS DE LA RESPUESTA ANTE LA EMERGENCIA Y LA REHABILITACIÓN DESPUÉS DE UN DESASTRE, SUPERAN DE FORMA SUSTANCIAL EL COSTE DE LA REDUCCIÓN DE RIESGOS Y DE LAS MEDIDAS DE MITIGACIÓN TOMADAS ANTES DE QUE OCURRAN LOS DESASTRES. </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EL </w:t>
      </w:r>
      <w:r w:rsidRPr="0075297F">
        <w:rPr>
          <w:rFonts w:cs="Calibri"/>
          <w:b/>
          <w:sz w:val="36"/>
          <w:szCs w:val="36"/>
        </w:rPr>
        <w:t>MINISTERIO DE HACIENDA ESTÁ IMPULSANDO UN MARCO ESTRATÉGICO QUE PERMITA FORTALECER LA GESTIÓN FINANCIERA DEL RIESGO Y LA CAPACIDAD DE RESPUESTA DEL SECTOR PÚBLICO ANTE LA OCURRENCIA DE DESASTRES, EL CUAL SE DENOMINA ESTRATEGIA DE GESTIÓN FINANCIERA ANTE EL RIESGO DE DESASTRES</w:t>
      </w:r>
      <w:r w:rsidRPr="0075297F">
        <w:rPr>
          <w:rFonts w:cs="Calibri"/>
          <w:sz w:val="36"/>
          <w:szCs w:val="36"/>
        </w:rPr>
        <w:t xml:space="preserve">. </w:t>
      </w:r>
      <w:bookmarkStart w:id="1" w:name="_Hlk511405745"/>
      <w:r w:rsidRPr="0075297F">
        <w:rPr>
          <w:rFonts w:cs="Calibri"/>
          <w:sz w:val="36"/>
          <w:szCs w:val="36"/>
        </w:rPr>
        <w:t xml:space="preserve">ESTA ESTRATEGIA IDENTIFICA, PRIORIZA E INTEGRA COMPRENSIVAMENTE </w:t>
      </w:r>
      <w:r w:rsidRPr="0075297F">
        <w:rPr>
          <w:rFonts w:cs="Calibri"/>
          <w:sz w:val="36"/>
          <w:szCs w:val="36"/>
        </w:rPr>
        <w:lastRenderedPageBreak/>
        <w:t>LINEAMIENTOS DE POLÍTICA CON EL OBJETIVO DE FORTALECER LA RESILIENCIA FISCAL ANTE EL RIESGO DE DESASTRES.</w:t>
      </w:r>
      <w:bookmarkEnd w:id="1"/>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ANTE EL IMPACTO DE EVENTOS DE MENOR MAGNITUD, PERO DE MAYOR FRECUENCIA, COMO LAS SEQUÍAS, Y CONSIDERANDO EL COMPORTAMIENTO MULTIAMENAZAS DEL PAÍS EN LOS ÚLTIMOS AÑOS, URGE CONSIDERAR UNA </w:t>
      </w:r>
      <w:r w:rsidRPr="0075297F">
        <w:rPr>
          <w:rFonts w:cs="Calibri"/>
          <w:b/>
          <w:sz w:val="36"/>
          <w:szCs w:val="36"/>
        </w:rPr>
        <w:t>POLÍTICA FISCAL QUE PERMITA UNA OPORTUNA MOVILIZACIÓN DE RECURSOS, ASÍ COMO LA CONSECUENTE EJECUCIÓN DEL GASTO PÚBLICO POST DESASTRE, PARA ATENDER LAS NECESIDADES DE LA POBLACIÓN AFECTADA. LA GESTIÓN INTEGRAL DE LOS RIESGOS FISCALES APUNTA A SALVAGUARDAR LA SOSTENIBILIDAD DE LAS FINANZAS PÚBLICAS.</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sz w:val="36"/>
          <w:szCs w:val="36"/>
        </w:rPr>
      </w:pPr>
      <w:r w:rsidRPr="0075297F">
        <w:rPr>
          <w:rFonts w:cs="Calibri"/>
          <w:sz w:val="36"/>
          <w:szCs w:val="36"/>
        </w:rPr>
        <w:t xml:space="preserve">FINALMENTE, DEBEMOS DESTACAR LA NECESIDAD DE CAMBIO EN LA </w:t>
      </w:r>
      <w:r w:rsidRPr="0075297F">
        <w:rPr>
          <w:rFonts w:cs="Calibri"/>
          <w:b/>
          <w:sz w:val="36"/>
          <w:szCs w:val="36"/>
        </w:rPr>
        <w:t>ESTRATEGIA DE LA RESPUESTA TRADICIONAL, PARA HACER FRENTE A LAS CAUSAS ESTRUCTURALES DE LA POBREZA Y LA INSEGURIDAD ALIMENTARIA. NO ES VIABLE CONFORMARSE CON MONTAR UNA RESPUESTA CADA VEZ QUE SE PRODUCE UNA SITUACIÓN DE EMERGENCIA.</w:t>
      </w:r>
    </w:p>
    <w:p w:rsidR="0075297F" w:rsidRPr="0075297F" w:rsidRDefault="0075297F" w:rsidP="0075297F">
      <w:pPr>
        <w:spacing w:line="276" w:lineRule="auto"/>
        <w:jc w:val="both"/>
        <w:rPr>
          <w:rFonts w:cs="Calibri"/>
          <w:sz w:val="36"/>
          <w:szCs w:val="36"/>
        </w:rPr>
      </w:pPr>
    </w:p>
    <w:p w:rsidR="0075297F" w:rsidRPr="0075297F" w:rsidRDefault="0075297F" w:rsidP="0075297F">
      <w:pPr>
        <w:spacing w:line="276" w:lineRule="auto"/>
        <w:jc w:val="both"/>
        <w:rPr>
          <w:rFonts w:cs="Calibri"/>
          <w:b/>
          <w:sz w:val="36"/>
          <w:szCs w:val="36"/>
        </w:rPr>
      </w:pPr>
      <w:r w:rsidRPr="0075297F">
        <w:rPr>
          <w:rFonts w:cs="Calibri"/>
          <w:b/>
          <w:sz w:val="36"/>
          <w:szCs w:val="36"/>
        </w:rPr>
        <w:lastRenderedPageBreak/>
        <w:t xml:space="preserve">NECESITAMOS CENTRARNOS EN LA RESILIENCIA, INCLUYENDO EL DESARROLLO SOSTENIBLE Y LA ADAPTACIÓN AL CAMBIO CLIMÁTICO, DE LO CONTRARIO, LA VULNERABILIDAD DE LA CUAL SOMOS CONSIENTES, NOS AFECTARÁ SIN MEDIDA, LIMITANDO EL CRECIMIENTO DEL PAÍS Y EL DESARROLLO DE NUESTROS CIUDADANOS. </w:t>
      </w:r>
    </w:p>
    <w:p w:rsidR="00E1410F" w:rsidRPr="0075428D" w:rsidRDefault="00E1410F" w:rsidP="0075297F">
      <w:pPr>
        <w:spacing w:line="360" w:lineRule="auto"/>
        <w:jc w:val="both"/>
        <w:rPr>
          <w:rFonts w:ascii="Arial" w:hAnsi="Arial" w:cs="Arial"/>
          <w:color w:val="244061"/>
          <w:sz w:val="30"/>
          <w:szCs w:val="30"/>
          <w:lang w:val="es-MX"/>
        </w:rPr>
      </w:pPr>
    </w:p>
    <w:sectPr w:rsidR="00E1410F" w:rsidRPr="0075428D" w:rsidSect="0075428D">
      <w:headerReference w:type="default" r:id="rId8"/>
      <w:footerReference w:type="default" r:id="rId9"/>
      <w:pgSz w:w="12240" w:h="15840" w:code="1"/>
      <w:pgMar w:top="2160" w:right="990" w:bottom="1077" w:left="1170" w:header="964"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C0" w:rsidRDefault="00FE3DC0">
      <w:r>
        <w:separator/>
      </w:r>
    </w:p>
  </w:endnote>
  <w:endnote w:type="continuationSeparator" w:id="0">
    <w:p w:rsidR="00FE3DC0" w:rsidRDefault="00FE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02" w:rsidRPr="006879B0" w:rsidRDefault="006B0F02">
    <w:pPr>
      <w:pStyle w:val="Piedepgina"/>
      <w:jc w:val="center"/>
      <w:rPr>
        <w:rFonts w:ascii="Arial" w:hAnsi="Arial" w:cs="Arial"/>
        <w:color w:val="1F4E79"/>
      </w:rPr>
    </w:pPr>
    <w:r w:rsidRPr="006879B0">
      <w:rPr>
        <w:rFonts w:ascii="Arial" w:hAnsi="Arial" w:cs="Arial"/>
        <w:color w:val="1F4E79"/>
      </w:rPr>
      <w:fldChar w:fldCharType="begin"/>
    </w:r>
    <w:r w:rsidRPr="006879B0">
      <w:rPr>
        <w:rFonts w:ascii="Arial" w:hAnsi="Arial" w:cs="Arial"/>
        <w:color w:val="1F4E79"/>
      </w:rPr>
      <w:instrText>PAGE   \* MERGEFORMAT</w:instrText>
    </w:r>
    <w:r w:rsidRPr="006879B0">
      <w:rPr>
        <w:rFonts w:ascii="Arial" w:hAnsi="Arial" w:cs="Arial"/>
        <w:color w:val="1F4E79"/>
      </w:rPr>
      <w:fldChar w:fldCharType="separate"/>
    </w:r>
    <w:r w:rsidR="0075297F">
      <w:rPr>
        <w:rFonts w:ascii="Arial" w:hAnsi="Arial" w:cs="Arial"/>
        <w:noProof/>
        <w:color w:val="1F4E79"/>
      </w:rPr>
      <w:t>4</w:t>
    </w:r>
    <w:r w:rsidRPr="006879B0">
      <w:rPr>
        <w:rFonts w:ascii="Arial" w:hAnsi="Arial" w:cs="Arial"/>
        <w:color w:val="1F4E79"/>
      </w:rPr>
      <w:fldChar w:fldCharType="end"/>
    </w:r>
  </w:p>
  <w:p w:rsidR="006E06D3" w:rsidRDefault="006E06D3" w:rsidP="000C71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C0" w:rsidRDefault="00FE3DC0">
      <w:r>
        <w:separator/>
      </w:r>
    </w:p>
  </w:footnote>
  <w:footnote w:type="continuationSeparator" w:id="0">
    <w:p w:rsidR="00FE3DC0" w:rsidRDefault="00FE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3" w:rsidRPr="004C14C8" w:rsidRDefault="0075297F" w:rsidP="00A1309E">
    <w:pPr>
      <w:pStyle w:val="Encabezado"/>
      <w:tabs>
        <w:tab w:val="left" w:pos="1985"/>
      </w:tabs>
      <w:ind w:left="-284" w:right="-595" w:hanging="283"/>
      <w:jc w:val="center"/>
      <w:rPr>
        <w:rFonts w:ascii="Arial" w:hAnsi="Arial" w:cs="Arial"/>
      </w:rPr>
    </w:pPr>
    <w:r>
      <w:rPr>
        <w:rFonts w:ascii="Arial" w:hAnsi="Arial" w:cs="Arial"/>
        <w:noProof/>
        <w:lang w:val="es-SV" w:eastAsia="es-SV"/>
      </w:rPr>
      <w:drawing>
        <wp:inline distT="0" distB="0" distL="0" distR="0">
          <wp:extent cx="1775460" cy="1105535"/>
          <wp:effectExtent l="0" t="0" r="0" b="0"/>
          <wp:docPr id="1" name="Imagen 1" descr="Logo M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H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CC6"/>
    <w:multiLevelType w:val="hybridMultilevel"/>
    <w:tmpl w:val="98C2E29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CA212F"/>
    <w:multiLevelType w:val="hybridMultilevel"/>
    <w:tmpl w:val="364676C8"/>
    <w:lvl w:ilvl="0" w:tplc="52C22EC4">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7374102"/>
    <w:multiLevelType w:val="hybridMultilevel"/>
    <w:tmpl w:val="61660E5E"/>
    <w:lvl w:ilvl="0" w:tplc="CF12635E">
      <w:numFmt w:val="bullet"/>
      <w:lvlText w:val=""/>
      <w:lvlJc w:val="left"/>
      <w:pPr>
        <w:ind w:left="360" w:hanging="360"/>
      </w:pPr>
      <w:rPr>
        <w:rFonts w:ascii="Symbol" w:eastAsia="Times New Roman" w:hAnsi="Symbo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48023B93"/>
    <w:multiLevelType w:val="hybridMultilevel"/>
    <w:tmpl w:val="4BAC7BBE"/>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A4A2AE4"/>
    <w:multiLevelType w:val="hybridMultilevel"/>
    <w:tmpl w:val="E10665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D109DD"/>
    <w:multiLevelType w:val="hybridMultilevel"/>
    <w:tmpl w:val="376A4886"/>
    <w:lvl w:ilvl="0" w:tplc="CC0C9666">
      <w:start w:val="1"/>
      <w:numFmt w:val="bullet"/>
      <w:lvlText w:val=""/>
      <w:lvlJc w:val="left"/>
      <w:pPr>
        <w:tabs>
          <w:tab w:val="num" w:pos="720"/>
        </w:tabs>
        <w:ind w:left="720" w:hanging="360"/>
      </w:pPr>
      <w:rPr>
        <w:rFonts w:ascii="Wingdings" w:hAnsi="Wingdings" w:hint="default"/>
      </w:rPr>
    </w:lvl>
    <w:lvl w:ilvl="1" w:tplc="457279C8" w:tentative="1">
      <w:start w:val="1"/>
      <w:numFmt w:val="bullet"/>
      <w:lvlText w:val=""/>
      <w:lvlJc w:val="left"/>
      <w:pPr>
        <w:tabs>
          <w:tab w:val="num" w:pos="1440"/>
        </w:tabs>
        <w:ind w:left="1440" w:hanging="360"/>
      </w:pPr>
      <w:rPr>
        <w:rFonts w:ascii="Wingdings" w:hAnsi="Wingdings" w:hint="default"/>
      </w:rPr>
    </w:lvl>
    <w:lvl w:ilvl="2" w:tplc="8900651C" w:tentative="1">
      <w:start w:val="1"/>
      <w:numFmt w:val="bullet"/>
      <w:lvlText w:val=""/>
      <w:lvlJc w:val="left"/>
      <w:pPr>
        <w:tabs>
          <w:tab w:val="num" w:pos="2160"/>
        </w:tabs>
        <w:ind w:left="2160" w:hanging="360"/>
      </w:pPr>
      <w:rPr>
        <w:rFonts w:ascii="Wingdings" w:hAnsi="Wingdings" w:hint="default"/>
      </w:rPr>
    </w:lvl>
    <w:lvl w:ilvl="3" w:tplc="5704962A" w:tentative="1">
      <w:start w:val="1"/>
      <w:numFmt w:val="bullet"/>
      <w:lvlText w:val=""/>
      <w:lvlJc w:val="left"/>
      <w:pPr>
        <w:tabs>
          <w:tab w:val="num" w:pos="2880"/>
        </w:tabs>
        <w:ind w:left="2880" w:hanging="360"/>
      </w:pPr>
      <w:rPr>
        <w:rFonts w:ascii="Wingdings" w:hAnsi="Wingdings" w:hint="default"/>
      </w:rPr>
    </w:lvl>
    <w:lvl w:ilvl="4" w:tplc="2CB0A252" w:tentative="1">
      <w:start w:val="1"/>
      <w:numFmt w:val="bullet"/>
      <w:lvlText w:val=""/>
      <w:lvlJc w:val="left"/>
      <w:pPr>
        <w:tabs>
          <w:tab w:val="num" w:pos="3600"/>
        </w:tabs>
        <w:ind w:left="3600" w:hanging="360"/>
      </w:pPr>
      <w:rPr>
        <w:rFonts w:ascii="Wingdings" w:hAnsi="Wingdings" w:hint="default"/>
      </w:rPr>
    </w:lvl>
    <w:lvl w:ilvl="5" w:tplc="BB729FB4" w:tentative="1">
      <w:start w:val="1"/>
      <w:numFmt w:val="bullet"/>
      <w:lvlText w:val=""/>
      <w:lvlJc w:val="left"/>
      <w:pPr>
        <w:tabs>
          <w:tab w:val="num" w:pos="4320"/>
        </w:tabs>
        <w:ind w:left="4320" w:hanging="360"/>
      </w:pPr>
      <w:rPr>
        <w:rFonts w:ascii="Wingdings" w:hAnsi="Wingdings" w:hint="default"/>
      </w:rPr>
    </w:lvl>
    <w:lvl w:ilvl="6" w:tplc="3266DF88" w:tentative="1">
      <w:start w:val="1"/>
      <w:numFmt w:val="bullet"/>
      <w:lvlText w:val=""/>
      <w:lvlJc w:val="left"/>
      <w:pPr>
        <w:tabs>
          <w:tab w:val="num" w:pos="5040"/>
        </w:tabs>
        <w:ind w:left="5040" w:hanging="360"/>
      </w:pPr>
      <w:rPr>
        <w:rFonts w:ascii="Wingdings" w:hAnsi="Wingdings" w:hint="default"/>
      </w:rPr>
    </w:lvl>
    <w:lvl w:ilvl="7" w:tplc="0D6C42CE" w:tentative="1">
      <w:start w:val="1"/>
      <w:numFmt w:val="bullet"/>
      <w:lvlText w:val=""/>
      <w:lvlJc w:val="left"/>
      <w:pPr>
        <w:tabs>
          <w:tab w:val="num" w:pos="5760"/>
        </w:tabs>
        <w:ind w:left="5760" w:hanging="360"/>
      </w:pPr>
      <w:rPr>
        <w:rFonts w:ascii="Wingdings" w:hAnsi="Wingdings" w:hint="default"/>
      </w:rPr>
    </w:lvl>
    <w:lvl w:ilvl="8" w:tplc="3F169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05C6A"/>
    <w:multiLevelType w:val="hybridMultilevel"/>
    <w:tmpl w:val="A5508CB6"/>
    <w:lvl w:ilvl="0" w:tplc="1AD6D3DE">
      <w:start w:val="1"/>
      <w:numFmt w:val="decimal"/>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4801D0C"/>
    <w:multiLevelType w:val="hybridMultilevel"/>
    <w:tmpl w:val="927AB6D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03"/>
    <w:rsid w:val="000006CB"/>
    <w:rsid w:val="00001F02"/>
    <w:rsid w:val="000038D1"/>
    <w:rsid w:val="00004331"/>
    <w:rsid w:val="000046E2"/>
    <w:rsid w:val="00006B37"/>
    <w:rsid w:val="00007197"/>
    <w:rsid w:val="000101DE"/>
    <w:rsid w:val="00011CE4"/>
    <w:rsid w:val="000129CB"/>
    <w:rsid w:val="00015DBD"/>
    <w:rsid w:val="00017E02"/>
    <w:rsid w:val="000217AF"/>
    <w:rsid w:val="000306F8"/>
    <w:rsid w:val="00032250"/>
    <w:rsid w:val="000341C3"/>
    <w:rsid w:val="000367BE"/>
    <w:rsid w:val="000402CB"/>
    <w:rsid w:val="000451CD"/>
    <w:rsid w:val="000451E7"/>
    <w:rsid w:val="00046783"/>
    <w:rsid w:val="000470FC"/>
    <w:rsid w:val="00051EA7"/>
    <w:rsid w:val="00053E0D"/>
    <w:rsid w:val="00056D0C"/>
    <w:rsid w:val="000629AD"/>
    <w:rsid w:val="00064E3B"/>
    <w:rsid w:val="00065306"/>
    <w:rsid w:val="000678D2"/>
    <w:rsid w:val="000709A4"/>
    <w:rsid w:val="00075878"/>
    <w:rsid w:val="00076CE5"/>
    <w:rsid w:val="00077D41"/>
    <w:rsid w:val="0008261D"/>
    <w:rsid w:val="000847F7"/>
    <w:rsid w:val="00090A65"/>
    <w:rsid w:val="00092656"/>
    <w:rsid w:val="0009365A"/>
    <w:rsid w:val="00095782"/>
    <w:rsid w:val="000A12CA"/>
    <w:rsid w:val="000A689C"/>
    <w:rsid w:val="000B48FF"/>
    <w:rsid w:val="000B4E31"/>
    <w:rsid w:val="000B7F9F"/>
    <w:rsid w:val="000C57B2"/>
    <w:rsid w:val="000C717C"/>
    <w:rsid w:val="000D0206"/>
    <w:rsid w:val="000D3101"/>
    <w:rsid w:val="000D393D"/>
    <w:rsid w:val="000D3E79"/>
    <w:rsid w:val="000D5FC7"/>
    <w:rsid w:val="000D6316"/>
    <w:rsid w:val="000D7208"/>
    <w:rsid w:val="000D7AE6"/>
    <w:rsid w:val="000E2826"/>
    <w:rsid w:val="000E2BC7"/>
    <w:rsid w:val="000E3AED"/>
    <w:rsid w:val="000E50E6"/>
    <w:rsid w:val="000E53EE"/>
    <w:rsid w:val="000F4746"/>
    <w:rsid w:val="001001AA"/>
    <w:rsid w:val="001058CA"/>
    <w:rsid w:val="00112421"/>
    <w:rsid w:val="001138FD"/>
    <w:rsid w:val="00120410"/>
    <w:rsid w:val="001264AE"/>
    <w:rsid w:val="001266C2"/>
    <w:rsid w:val="00131EA9"/>
    <w:rsid w:val="00134C70"/>
    <w:rsid w:val="00135667"/>
    <w:rsid w:val="0013568D"/>
    <w:rsid w:val="001403BE"/>
    <w:rsid w:val="00142C1D"/>
    <w:rsid w:val="00142E76"/>
    <w:rsid w:val="00146DD6"/>
    <w:rsid w:val="00146F83"/>
    <w:rsid w:val="0014746D"/>
    <w:rsid w:val="0015599A"/>
    <w:rsid w:val="0016071F"/>
    <w:rsid w:val="001666BC"/>
    <w:rsid w:val="00166ABA"/>
    <w:rsid w:val="00167560"/>
    <w:rsid w:val="00172101"/>
    <w:rsid w:val="00172858"/>
    <w:rsid w:val="001762CC"/>
    <w:rsid w:val="001764C2"/>
    <w:rsid w:val="00182021"/>
    <w:rsid w:val="00182283"/>
    <w:rsid w:val="00185179"/>
    <w:rsid w:val="0018581F"/>
    <w:rsid w:val="0018713F"/>
    <w:rsid w:val="001873ED"/>
    <w:rsid w:val="00193F4A"/>
    <w:rsid w:val="00195BF4"/>
    <w:rsid w:val="00195DEA"/>
    <w:rsid w:val="0019713C"/>
    <w:rsid w:val="00197F34"/>
    <w:rsid w:val="001A3EFD"/>
    <w:rsid w:val="001B15B8"/>
    <w:rsid w:val="001B17F0"/>
    <w:rsid w:val="001B649F"/>
    <w:rsid w:val="001C1A55"/>
    <w:rsid w:val="001C29E6"/>
    <w:rsid w:val="001C53DA"/>
    <w:rsid w:val="001C5CC3"/>
    <w:rsid w:val="001D130F"/>
    <w:rsid w:val="001D1886"/>
    <w:rsid w:val="001D5485"/>
    <w:rsid w:val="001E30C9"/>
    <w:rsid w:val="001E4A52"/>
    <w:rsid w:val="001E6F6D"/>
    <w:rsid w:val="001F0584"/>
    <w:rsid w:val="001F31AF"/>
    <w:rsid w:val="00202A50"/>
    <w:rsid w:val="00202D76"/>
    <w:rsid w:val="0020764E"/>
    <w:rsid w:val="002122B3"/>
    <w:rsid w:val="00212EDD"/>
    <w:rsid w:val="00215887"/>
    <w:rsid w:val="002207F9"/>
    <w:rsid w:val="0022250E"/>
    <w:rsid w:val="00223404"/>
    <w:rsid w:val="00223811"/>
    <w:rsid w:val="00227C2D"/>
    <w:rsid w:val="0023739F"/>
    <w:rsid w:val="0024208C"/>
    <w:rsid w:val="00242970"/>
    <w:rsid w:val="00243729"/>
    <w:rsid w:val="00243C01"/>
    <w:rsid w:val="002446F6"/>
    <w:rsid w:val="00244D19"/>
    <w:rsid w:val="002512B6"/>
    <w:rsid w:val="002525D7"/>
    <w:rsid w:val="00253408"/>
    <w:rsid w:val="00255A8C"/>
    <w:rsid w:val="00270E73"/>
    <w:rsid w:val="00273ACA"/>
    <w:rsid w:val="002740C8"/>
    <w:rsid w:val="002755CF"/>
    <w:rsid w:val="002822AD"/>
    <w:rsid w:val="002864F0"/>
    <w:rsid w:val="0029119B"/>
    <w:rsid w:val="002933F1"/>
    <w:rsid w:val="00293B01"/>
    <w:rsid w:val="00295955"/>
    <w:rsid w:val="002A0430"/>
    <w:rsid w:val="002A1E22"/>
    <w:rsid w:val="002A243B"/>
    <w:rsid w:val="002B23B2"/>
    <w:rsid w:val="002B4145"/>
    <w:rsid w:val="002B4A38"/>
    <w:rsid w:val="002B7560"/>
    <w:rsid w:val="002C0568"/>
    <w:rsid w:val="002C08B6"/>
    <w:rsid w:val="002D2714"/>
    <w:rsid w:val="002D2986"/>
    <w:rsid w:val="002D2A8D"/>
    <w:rsid w:val="002D4203"/>
    <w:rsid w:val="002D420D"/>
    <w:rsid w:val="002D59B0"/>
    <w:rsid w:val="002D6C25"/>
    <w:rsid w:val="002E21AF"/>
    <w:rsid w:val="002E5F5E"/>
    <w:rsid w:val="002F135B"/>
    <w:rsid w:val="002F5AD4"/>
    <w:rsid w:val="002F7494"/>
    <w:rsid w:val="00301587"/>
    <w:rsid w:val="0030314C"/>
    <w:rsid w:val="00303422"/>
    <w:rsid w:val="00303696"/>
    <w:rsid w:val="0030396A"/>
    <w:rsid w:val="003056B9"/>
    <w:rsid w:val="00307BD8"/>
    <w:rsid w:val="00312E82"/>
    <w:rsid w:val="00315007"/>
    <w:rsid w:val="00317139"/>
    <w:rsid w:val="0032082B"/>
    <w:rsid w:val="00324772"/>
    <w:rsid w:val="00331A32"/>
    <w:rsid w:val="00331BC8"/>
    <w:rsid w:val="00333990"/>
    <w:rsid w:val="00336805"/>
    <w:rsid w:val="0034187F"/>
    <w:rsid w:val="00350232"/>
    <w:rsid w:val="00350AAC"/>
    <w:rsid w:val="00353E48"/>
    <w:rsid w:val="003570F7"/>
    <w:rsid w:val="00363F3F"/>
    <w:rsid w:val="00365592"/>
    <w:rsid w:val="00372987"/>
    <w:rsid w:val="00382008"/>
    <w:rsid w:val="00392753"/>
    <w:rsid w:val="00394DB5"/>
    <w:rsid w:val="00395C8A"/>
    <w:rsid w:val="00395D8C"/>
    <w:rsid w:val="00397608"/>
    <w:rsid w:val="003A119E"/>
    <w:rsid w:val="003A2981"/>
    <w:rsid w:val="003A2C30"/>
    <w:rsid w:val="003A3749"/>
    <w:rsid w:val="003A3D67"/>
    <w:rsid w:val="003A58A3"/>
    <w:rsid w:val="003B0C0D"/>
    <w:rsid w:val="003B1F0C"/>
    <w:rsid w:val="003B2392"/>
    <w:rsid w:val="003B4E6D"/>
    <w:rsid w:val="003B57E9"/>
    <w:rsid w:val="003B6BC2"/>
    <w:rsid w:val="003C4D4A"/>
    <w:rsid w:val="003C53E9"/>
    <w:rsid w:val="003D088F"/>
    <w:rsid w:val="003D0CF5"/>
    <w:rsid w:val="003D4EDF"/>
    <w:rsid w:val="003D696D"/>
    <w:rsid w:val="003E13A8"/>
    <w:rsid w:val="003E2F60"/>
    <w:rsid w:val="003E337A"/>
    <w:rsid w:val="003E5B61"/>
    <w:rsid w:val="003F0B82"/>
    <w:rsid w:val="003F1254"/>
    <w:rsid w:val="003F1985"/>
    <w:rsid w:val="003F7F27"/>
    <w:rsid w:val="00403561"/>
    <w:rsid w:val="00407501"/>
    <w:rsid w:val="00412DE3"/>
    <w:rsid w:val="00413803"/>
    <w:rsid w:val="00413BBB"/>
    <w:rsid w:val="00414854"/>
    <w:rsid w:val="004169B0"/>
    <w:rsid w:val="004175DE"/>
    <w:rsid w:val="00417A9F"/>
    <w:rsid w:val="0042276E"/>
    <w:rsid w:val="00430896"/>
    <w:rsid w:val="00434E45"/>
    <w:rsid w:val="004356F1"/>
    <w:rsid w:val="00435826"/>
    <w:rsid w:val="00435E6E"/>
    <w:rsid w:val="00436D81"/>
    <w:rsid w:val="00440CE0"/>
    <w:rsid w:val="00440F63"/>
    <w:rsid w:val="00441C2B"/>
    <w:rsid w:val="00443007"/>
    <w:rsid w:val="00443D7E"/>
    <w:rsid w:val="00447E0A"/>
    <w:rsid w:val="004538D7"/>
    <w:rsid w:val="00455782"/>
    <w:rsid w:val="00463301"/>
    <w:rsid w:val="00463782"/>
    <w:rsid w:val="00465D86"/>
    <w:rsid w:val="004709FA"/>
    <w:rsid w:val="00474104"/>
    <w:rsid w:val="0047417A"/>
    <w:rsid w:val="0048267A"/>
    <w:rsid w:val="0048547E"/>
    <w:rsid w:val="0048795D"/>
    <w:rsid w:val="004A2F8D"/>
    <w:rsid w:val="004A6A1D"/>
    <w:rsid w:val="004B33A9"/>
    <w:rsid w:val="004B3ED8"/>
    <w:rsid w:val="004B69F3"/>
    <w:rsid w:val="004C103B"/>
    <w:rsid w:val="004C14C8"/>
    <w:rsid w:val="004C39B2"/>
    <w:rsid w:val="004C50B6"/>
    <w:rsid w:val="004C5990"/>
    <w:rsid w:val="004C694F"/>
    <w:rsid w:val="004C7E65"/>
    <w:rsid w:val="004D03CC"/>
    <w:rsid w:val="004D0CB5"/>
    <w:rsid w:val="004D3C71"/>
    <w:rsid w:val="004D4D63"/>
    <w:rsid w:val="004D5BFA"/>
    <w:rsid w:val="004D6F57"/>
    <w:rsid w:val="004E072B"/>
    <w:rsid w:val="004E3C6D"/>
    <w:rsid w:val="004E409C"/>
    <w:rsid w:val="004E6610"/>
    <w:rsid w:val="004E7F05"/>
    <w:rsid w:val="004F490C"/>
    <w:rsid w:val="004F5C66"/>
    <w:rsid w:val="004F7A92"/>
    <w:rsid w:val="00501840"/>
    <w:rsid w:val="00505AA1"/>
    <w:rsid w:val="005067A3"/>
    <w:rsid w:val="00507F87"/>
    <w:rsid w:val="00510600"/>
    <w:rsid w:val="0051092B"/>
    <w:rsid w:val="00510950"/>
    <w:rsid w:val="00513C48"/>
    <w:rsid w:val="00514184"/>
    <w:rsid w:val="00516957"/>
    <w:rsid w:val="00522AC2"/>
    <w:rsid w:val="005258A1"/>
    <w:rsid w:val="005278BC"/>
    <w:rsid w:val="00530448"/>
    <w:rsid w:val="00530D92"/>
    <w:rsid w:val="00531F93"/>
    <w:rsid w:val="005360B4"/>
    <w:rsid w:val="005379DF"/>
    <w:rsid w:val="00537C1A"/>
    <w:rsid w:val="00540EA5"/>
    <w:rsid w:val="005431FC"/>
    <w:rsid w:val="0054374A"/>
    <w:rsid w:val="00547F4B"/>
    <w:rsid w:val="005536D0"/>
    <w:rsid w:val="00553FD5"/>
    <w:rsid w:val="005609ED"/>
    <w:rsid w:val="00561F1C"/>
    <w:rsid w:val="005626CB"/>
    <w:rsid w:val="00566CB7"/>
    <w:rsid w:val="00566F2F"/>
    <w:rsid w:val="0057049A"/>
    <w:rsid w:val="00571CAD"/>
    <w:rsid w:val="00573943"/>
    <w:rsid w:val="0057480E"/>
    <w:rsid w:val="00575A21"/>
    <w:rsid w:val="005810AF"/>
    <w:rsid w:val="005824EF"/>
    <w:rsid w:val="00583ADA"/>
    <w:rsid w:val="00587E27"/>
    <w:rsid w:val="00590628"/>
    <w:rsid w:val="00590D61"/>
    <w:rsid w:val="0059130C"/>
    <w:rsid w:val="00595B3F"/>
    <w:rsid w:val="00596019"/>
    <w:rsid w:val="005A726B"/>
    <w:rsid w:val="005A7A61"/>
    <w:rsid w:val="005B3410"/>
    <w:rsid w:val="005B352F"/>
    <w:rsid w:val="005B35BF"/>
    <w:rsid w:val="005D07AF"/>
    <w:rsid w:val="005D12A1"/>
    <w:rsid w:val="005D2741"/>
    <w:rsid w:val="005D28D9"/>
    <w:rsid w:val="005D3966"/>
    <w:rsid w:val="005D5D9B"/>
    <w:rsid w:val="005D623E"/>
    <w:rsid w:val="005E0304"/>
    <w:rsid w:val="005E20A2"/>
    <w:rsid w:val="005F0482"/>
    <w:rsid w:val="006011A8"/>
    <w:rsid w:val="00601664"/>
    <w:rsid w:val="00601B54"/>
    <w:rsid w:val="006029F3"/>
    <w:rsid w:val="00603D69"/>
    <w:rsid w:val="00605C6F"/>
    <w:rsid w:val="00606F1F"/>
    <w:rsid w:val="00610230"/>
    <w:rsid w:val="006123EC"/>
    <w:rsid w:val="0061549E"/>
    <w:rsid w:val="00615F5E"/>
    <w:rsid w:val="00623A5A"/>
    <w:rsid w:val="00626BE0"/>
    <w:rsid w:val="00630003"/>
    <w:rsid w:val="006354EC"/>
    <w:rsid w:val="00640B23"/>
    <w:rsid w:val="00642310"/>
    <w:rsid w:val="0064291F"/>
    <w:rsid w:val="00645B0B"/>
    <w:rsid w:val="006460B1"/>
    <w:rsid w:val="00647650"/>
    <w:rsid w:val="00651B36"/>
    <w:rsid w:val="00654ADA"/>
    <w:rsid w:val="006563FD"/>
    <w:rsid w:val="00657B66"/>
    <w:rsid w:val="006619B4"/>
    <w:rsid w:val="00661C08"/>
    <w:rsid w:val="006719DD"/>
    <w:rsid w:val="00671F3A"/>
    <w:rsid w:val="00672DE6"/>
    <w:rsid w:val="00673F92"/>
    <w:rsid w:val="00673FBD"/>
    <w:rsid w:val="00674925"/>
    <w:rsid w:val="00674FD8"/>
    <w:rsid w:val="00677872"/>
    <w:rsid w:val="006779E3"/>
    <w:rsid w:val="00677CC6"/>
    <w:rsid w:val="0068293E"/>
    <w:rsid w:val="00683E1E"/>
    <w:rsid w:val="006869D9"/>
    <w:rsid w:val="006879B0"/>
    <w:rsid w:val="006917AB"/>
    <w:rsid w:val="00695A32"/>
    <w:rsid w:val="00696777"/>
    <w:rsid w:val="006A5D37"/>
    <w:rsid w:val="006A68CD"/>
    <w:rsid w:val="006B0F02"/>
    <w:rsid w:val="006B3FA3"/>
    <w:rsid w:val="006B5296"/>
    <w:rsid w:val="006B5392"/>
    <w:rsid w:val="006B678D"/>
    <w:rsid w:val="006B740A"/>
    <w:rsid w:val="006C1CC9"/>
    <w:rsid w:val="006C3916"/>
    <w:rsid w:val="006C48D1"/>
    <w:rsid w:val="006C5953"/>
    <w:rsid w:val="006C5964"/>
    <w:rsid w:val="006C76A6"/>
    <w:rsid w:val="006D152A"/>
    <w:rsid w:val="006D3B42"/>
    <w:rsid w:val="006D3F97"/>
    <w:rsid w:val="006D4664"/>
    <w:rsid w:val="006D4C05"/>
    <w:rsid w:val="006E06D3"/>
    <w:rsid w:val="006E2F84"/>
    <w:rsid w:val="006E533C"/>
    <w:rsid w:val="006E7ACB"/>
    <w:rsid w:val="006F25F8"/>
    <w:rsid w:val="006F7233"/>
    <w:rsid w:val="0070136F"/>
    <w:rsid w:val="00706474"/>
    <w:rsid w:val="00713171"/>
    <w:rsid w:val="00717BE2"/>
    <w:rsid w:val="0072095A"/>
    <w:rsid w:val="00720E54"/>
    <w:rsid w:val="00722994"/>
    <w:rsid w:val="007230AA"/>
    <w:rsid w:val="00733977"/>
    <w:rsid w:val="00736CC7"/>
    <w:rsid w:val="007404C0"/>
    <w:rsid w:val="00744AE8"/>
    <w:rsid w:val="00745177"/>
    <w:rsid w:val="00747230"/>
    <w:rsid w:val="007514E2"/>
    <w:rsid w:val="0075297F"/>
    <w:rsid w:val="0075428D"/>
    <w:rsid w:val="00757A4B"/>
    <w:rsid w:val="00760230"/>
    <w:rsid w:val="00760839"/>
    <w:rsid w:val="00761859"/>
    <w:rsid w:val="00762A81"/>
    <w:rsid w:val="007653D7"/>
    <w:rsid w:val="00765EBA"/>
    <w:rsid w:val="00765FB0"/>
    <w:rsid w:val="00766D11"/>
    <w:rsid w:val="007674EC"/>
    <w:rsid w:val="007703DE"/>
    <w:rsid w:val="00770E70"/>
    <w:rsid w:val="00774231"/>
    <w:rsid w:val="00776F37"/>
    <w:rsid w:val="007806BD"/>
    <w:rsid w:val="00780F75"/>
    <w:rsid w:val="00782A99"/>
    <w:rsid w:val="00782B07"/>
    <w:rsid w:val="00782B73"/>
    <w:rsid w:val="007857CE"/>
    <w:rsid w:val="00792457"/>
    <w:rsid w:val="00792CBD"/>
    <w:rsid w:val="00795FD8"/>
    <w:rsid w:val="00797229"/>
    <w:rsid w:val="007A40CE"/>
    <w:rsid w:val="007A6B7F"/>
    <w:rsid w:val="007A71AA"/>
    <w:rsid w:val="007A72DA"/>
    <w:rsid w:val="007C152B"/>
    <w:rsid w:val="007C3D53"/>
    <w:rsid w:val="007C467D"/>
    <w:rsid w:val="007D1336"/>
    <w:rsid w:val="007D14A4"/>
    <w:rsid w:val="007D3199"/>
    <w:rsid w:val="007D6B4A"/>
    <w:rsid w:val="007E2492"/>
    <w:rsid w:val="007E2BD8"/>
    <w:rsid w:val="007E2E28"/>
    <w:rsid w:val="007E5271"/>
    <w:rsid w:val="007E6591"/>
    <w:rsid w:val="007F0050"/>
    <w:rsid w:val="007F03A5"/>
    <w:rsid w:val="007F0CF0"/>
    <w:rsid w:val="007F1FBF"/>
    <w:rsid w:val="007F746F"/>
    <w:rsid w:val="007F7595"/>
    <w:rsid w:val="007F7E90"/>
    <w:rsid w:val="00803DFA"/>
    <w:rsid w:val="00804C10"/>
    <w:rsid w:val="00806CC4"/>
    <w:rsid w:val="00810ED5"/>
    <w:rsid w:val="00812338"/>
    <w:rsid w:val="008144D9"/>
    <w:rsid w:val="008171AD"/>
    <w:rsid w:val="00817FC7"/>
    <w:rsid w:val="008215B8"/>
    <w:rsid w:val="00823F4E"/>
    <w:rsid w:val="00830928"/>
    <w:rsid w:val="00833727"/>
    <w:rsid w:val="00835D3A"/>
    <w:rsid w:val="00835E8D"/>
    <w:rsid w:val="008370E1"/>
    <w:rsid w:val="008419B7"/>
    <w:rsid w:val="00845219"/>
    <w:rsid w:val="008472D8"/>
    <w:rsid w:val="008479B1"/>
    <w:rsid w:val="008479EB"/>
    <w:rsid w:val="0085090F"/>
    <w:rsid w:val="00852110"/>
    <w:rsid w:val="008545D9"/>
    <w:rsid w:val="00855322"/>
    <w:rsid w:val="0085733F"/>
    <w:rsid w:val="00860C16"/>
    <w:rsid w:val="008627A3"/>
    <w:rsid w:val="0086417E"/>
    <w:rsid w:val="00874BA2"/>
    <w:rsid w:val="00877FD9"/>
    <w:rsid w:val="0088154C"/>
    <w:rsid w:val="008815D1"/>
    <w:rsid w:val="008945E6"/>
    <w:rsid w:val="008A0745"/>
    <w:rsid w:val="008A16CA"/>
    <w:rsid w:val="008A2D2B"/>
    <w:rsid w:val="008A3CE3"/>
    <w:rsid w:val="008A410A"/>
    <w:rsid w:val="008B4622"/>
    <w:rsid w:val="008B5F90"/>
    <w:rsid w:val="008B77E5"/>
    <w:rsid w:val="008C09C3"/>
    <w:rsid w:val="008C3C80"/>
    <w:rsid w:val="008C4A20"/>
    <w:rsid w:val="008D6EEC"/>
    <w:rsid w:val="008E03F4"/>
    <w:rsid w:val="008E1E48"/>
    <w:rsid w:val="008E35BF"/>
    <w:rsid w:val="008F0AB1"/>
    <w:rsid w:val="008F6726"/>
    <w:rsid w:val="00900816"/>
    <w:rsid w:val="00901ECC"/>
    <w:rsid w:val="00902807"/>
    <w:rsid w:val="00904D96"/>
    <w:rsid w:val="00905EB2"/>
    <w:rsid w:val="00906440"/>
    <w:rsid w:val="00910D97"/>
    <w:rsid w:val="009138FD"/>
    <w:rsid w:val="00915427"/>
    <w:rsid w:val="009158B1"/>
    <w:rsid w:val="00915A92"/>
    <w:rsid w:val="00921D3D"/>
    <w:rsid w:val="009312E1"/>
    <w:rsid w:val="00934319"/>
    <w:rsid w:val="00934B78"/>
    <w:rsid w:val="00943843"/>
    <w:rsid w:val="00943874"/>
    <w:rsid w:val="00944041"/>
    <w:rsid w:val="00944D5B"/>
    <w:rsid w:val="00944FF3"/>
    <w:rsid w:val="0094529F"/>
    <w:rsid w:val="00947055"/>
    <w:rsid w:val="009531BF"/>
    <w:rsid w:val="0095453A"/>
    <w:rsid w:val="00955E41"/>
    <w:rsid w:val="009602C6"/>
    <w:rsid w:val="00961B74"/>
    <w:rsid w:val="0096522B"/>
    <w:rsid w:val="009658BE"/>
    <w:rsid w:val="00973F9C"/>
    <w:rsid w:val="00976479"/>
    <w:rsid w:val="0097660C"/>
    <w:rsid w:val="00976F7E"/>
    <w:rsid w:val="0097776D"/>
    <w:rsid w:val="009818FF"/>
    <w:rsid w:val="00985B9B"/>
    <w:rsid w:val="0098614D"/>
    <w:rsid w:val="00987911"/>
    <w:rsid w:val="00987D32"/>
    <w:rsid w:val="009955F3"/>
    <w:rsid w:val="009A017E"/>
    <w:rsid w:val="009A11B0"/>
    <w:rsid w:val="009A1B74"/>
    <w:rsid w:val="009A2792"/>
    <w:rsid w:val="009A3A8B"/>
    <w:rsid w:val="009A4548"/>
    <w:rsid w:val="009A5B25"/>
    <w:rsid w:val="009B32A1"/>
    <w:rsid w:val="009B5610"/>
    <w:rsid w:val="009B6F06"/>
    <w:rsid w:val="009C0BE6"/>
    <w:rsid w:val="009C2984"/>
    <w:rsid w:val="009C3088"/>
    <w:rsid w:val="009C4076"/>
    <w:rsid w:val="009C6FFD"/>
    <w:rsid w:val="009C7C9C"/>
    <w:rsid w:val="009D04FE"/>
    <w:rsid w:val="009D3505"/>
    <w:rsid w:val="009D4359"/>
    <w:rsid w:val="009D4585"/>
    <w:rsid w:val="009D508E"/>
    <w:rsid w:val="009E0C1D"/>
    <w:rsid w:val="009E4125"/>
    <w:rsid w:val="009E4BC6"/>
    <w:rsid w:val="009E63AD"/>
    <w:rsid w:val="009F596D"/>
    <w:rsid w:val="009F5FC1"/>
    <w:rsid w:val="009F6DCB"/>
    <w:rsid w:val="009F6F03"/>
    <w:rsid w:val="00A0088F"/>
    <w:rsid w:val="00A032BA"/>
    <w:rsid w:val="00A0640C"/>
    <w:rsid w:val="00A064F6"/>
    <w:rsid w:val="00A11276"/>
    <w:rsid w:val="00A12D55"/>
    <w:rsid w:val="00A1309E"/>
    <w:rsid w:val="00A1498F"/>
    <w:rsid w:val="00A154FB"/>
    <w:rsid w:val="00A165E9"/>
    <w:rsid w:val="00A20D90"/>
    <w:rsid w:val="00A21EDB"/>
    <w:rsid w:val="00A24A45"/>
    <w:rsid w:val="00A27E58"/>
    <w:rsid w:val="00A30E55"/>
    <w:rsid w:val="00A340F7"/>
    <w:rsid w:val="00A355B0"/>
    <w:rsid w:val="00A35C1A"/>
    <w:rsid w:val="00A36BF8"/>
    <w:rsid w:val="00A5177E"/>
    <w:rsid w:val="00A51A67"/>
    <w:rsid w:val="00A62076"/>
    <w:rsid w:val="00A64B55"/>
    <w:rsid w:val="00A65011"/>
    <w:rsid w:val="00A6522E"/>
    <w:rsid w:val="00A66F16"/>
    <w:rsid w:val="00A674D1"/>
    <w:rsid w:val="00A675FC"/>
    <w:rsid w:val="00A72551"/>
    <w:rsid w:val="00A747C8"/>
    <w:rsid w:val="00A759FC"/>
    <w:rsid w:val="00A75D2F"/>
    <w:rsid w:val="00A77322"/>
    <w:rsid w:val="00A8261A"/>
    <w:rsid w:val="00A82B82"/>
    <w:rsid w:val="00A92FBA"/>
    <w:rsid w:val="00A93530"/>
    <w:rsid w:val="00A96028"/>
    <w:rsid w:val="00AA5400"/>
    <w:rsid w:val="00AA5DF2"/>
    <w:rsid w:val="00AB16B4"/>
    <w:rsid w:val="00AB25EB"/>
    <w:rsid w:val="00AB7AB6"/>
    <w:rsid w:val="00AC1F2C"/>
    <w:rsid w:val="00AC4E2A"/>
    <w:rsid w:val="00AC59BC"/>
    <w:rsid w:val="00AE1AC4"/>
    <w:rsid w:val="00AE1C8B"/>
    <w:rsid w:val="00AE5FF1"/>
    <w:rsid w:val="00AE6C5A"/>
    <w:rsid w:val="00AE71D1"/>
    <w:rsid w:val="00AE78AA"/>
    <w:rsid w:val="00AF0167"/>
    <w:rsid w:val="00AF03CA"/>
    <w:rsid w:val="00AF360C"/>
    <w:rsid w:val="00AF52A7"/>
    <w:rsid w:val="00AF6A06"/>
    <w:rsid w:val="00B03205"/>
    <w:rsid w:val="00B037F8"/>
    <w:rsid w:val="00B05E21"/>
    <w:rsid w:val="00B10C50"/>
    <w:rsid w:val="00B10DD3"/>
    <w:rsid w:val="00B115BE"/>
    <w:rsid w:val="00B12EAA"/>
    <w:rsid w:val="00B20A36"/>
    <w:rsid w:val="00B21F67"/>
    <w:rsid w:val="00B22118"/>
    <w:rsid w:val="00B23559"/>
    <w:rsid w:val="00B24FB2"/>
    <w:rsid w:val="00B26790"/>
    <w:rsid w:val="00B36EB4"/>
    <w:rsid w:val="00B4004D"/>
    <w:rsid w:val="00B40C86"/>
    <w:rsid w:val="00B416EA"/>
    <w:rsid w:val="00B44C6B"/>
    <w:rsid w:val="00B52845"/>
    <w:rsid w:val="00B55C88"/>
    <w:rsid w:val="00B57D82"/>
    <w:rsid w:val="00B6140D"/>
    <w:rsid w:val="00B61ABD"/>
    <w:rsid w:val="00B64B4B"/>
    <w:rsid w:val="00B6594A"/>
    <w:rsid w:val="00B668D4"/>
    <w:rsid w:val="00B712D6"/>
    <w:rsid w:val="00B71529"/>
    <w:rsid w:val="00B72548"/>
    <w:rsid w:val="00B73475"/>
    <w:rsid w:val="00B75578"/>
    <w:rsid w:val="00B857B7"/>
    <w:rsid w:val="00B901EC"/>
    <w:rsid w:val="00B91170"/>
    <w:rsid w:val="00B91795"/>
    <w:rsid w:val="00B939AB"/>
    <w:rsid w:val="00B941B1"/>
    <w:rsid w:val="00B94502"/>
    <w:rsid w:val="00B9658B"/>
    <w:rsid w:val="00BA116A"/>
    <w:rsid w:val="00BA3EAA"/>
    <w:rsid w:val="00BA63C2"/>
    <w:rsid w:val="00BA6C1A"/>
    <w:rsid w:val="00BB038E"/>
    <w:rsid w:val="00BB0F12"/>
    <w:rsid w:val="00BB44B6"/>
    <w:rsid w:val="00BB4957"/>
    <w:rsid w:val="00BB6438"/>
    <w:rsid w:val="00BB6EA0"/>
    <w:rsid w:val="00BC05E2"/>
    <w:rsid w:val="00BC170A"/>
    <w:rsid w:val="00BC25F4"/>
    <w:rsid w:val="00BC2A06"/>
    <w:rsid w:val="00BC2E38"/>
    <w:rsid w:val="00BD1DB3"/>
    <w:rsid w:val="00BD286E"/>
    <w:rsid w:val="00BD2FA7"/>
    <w:rsid w:val="00BD4185"/>
    <w:rsid w:val="00BD48B2"/>
    <w:rsid w:val="00BD4ED0"/>
    <w:rsid w:val="00BD512A"/>
    <w:rsid w:val="00BD535F"/>
    <w:rsid w:val="00BE19BC"/>
    <w:rsid w:val="00BE2F36"/>
    <w:rsid w:val="00BF07A3"/>
    <w:rsid w:val="00BF4CD3"/>
    <w:rsid w:val="00BF566D"/>
    <w:rsid w:val="00C023A1"/>
    <w:rsid w:val="00C05767"/>
    <w:rsid w:val="00C23252"/>
    <w:rsid w:val="00C30C79"/>
    <w:rsid w:val="00C316B6"/>
    <w:rsid w:val="00C34D11"/>
    <w:rsid w:val="00C37599"/>
    <w:rsid w:val="00C4141F"/>
    <w:rsid w:val="00C41A07"/>
    <w:rsid w:val="00C4363F"/>
    <w:rsid w:val="00C4369F"/>
    <w:rsid w:val="00C45FA5"/>
    <w:rsid w:val="00C46DB5"/>
    <w:rsid w:val="00C52E62"/>
    <w:rsid w:val="00C53014"/>
    <w:rsid w:val="00C5311B"/>
    <w:rsid w:val="00C55295"/>
    <w:rsid w:val="00C62672"/>
    <w:rsid w:val="00C6481C"/>
    <w:rsid w:val="00C724FB"/>
    <w:rsid w:val="00C867C2"/>
    <w:rsid w:val="00C90436"/>
    <w:rsid w:val="00C90D16"/>
    <w:rsid w:val="00C912B8"/>
    <w:rsid w:val="00C916CB"/>
    <w:rsid w:val="00C91769"/>
    <w:rsid w:val="00C92A5B"/>
    <w:rsid w:val="00C951C5"/>
    <w:rsid w:val="00C97918"/>
    <w:rsid w:val="00CA0874"/>
    <w:rsid w:val="00CA3D69"/>
    <w:rsid w:val="00CA431F"/>
    <w:rsid w:val="00CA63AE"/>
    <w:rsid w:val="00CA6551"/>
    <w:rsid w:val="00CA7149"/>
    <w:rsid w:val="00CB1880"/>
    <w:rsid w:val="00CB43AD"/>
    <w:rsid w:val="00CB468B"/>
    <w:rsid w:val="00CB700D"/>
    <w:rsid w:val="00CB77EC"/>
    <w:rsid w:val="00CC2EE4"/>
    <w:rsid w:val="00CC66A0"/>
    <w:rsid w:val="00CD0D94"/>
    <w:rsid w:val="00CD0F6C"/>
    <w:rsid w:val="00CD1384"/>
    <w:rsid w:val="00CD33C4"/>
    <w:rsid w:val="00CD4C4D"/>
    <w:rsid w:val="00CD54D0"/>
    <w:rsid w:val="00CE0D2F"/>
    <w:rsid w:val="00CE11D0"/>
    <w:rsid w:val="00CE2E9D"/>
    <w:rsid w:val="00CE5AC3"/>
    <w:rsid w:val="00CE7607"/>
    <w:rsid w:val="00CF4754"/>
    <w:rsid w:val="00CF5227"/>
    <w:rsid w:val="00CF550D"/>
    <w:rsid w:val="00CF69CA"/>
    <w:rsid w:val="00D00512"/>
    <w:rsid w:val="00D01A43"/>
    <w:rsid w:val="00D0276C"/>
    <w:rsid w:val="00D11DF2"/>
    <w:rsid w:val="00D12D35"/>
    <w:rsid w:val="00D14B72"/>
    <w:rsid w:val="00D230F3"/>
    <w:rsid w:val="00D24BBD"/>
    <w:rsid w:val="00D3168E"/>
    <w:rsid w:val="00D3484A"/>
    <w:rsid w:val="00D36302"/>
    <w:rsid w:val="00D365BA"/>
    <w:rsid w:val="00D3662E"/>
    <w:rsid w:val="00D37C98"/>
    <w:rsid w:val="00D424B6"/>
    <w:rsid w:val="00D468CB"/>
    <w:rsid w:val="00D46E69"/>
    <w:rsid w:val="00D47484"/>
    <w:rsid w:val="00D47D44"/>
    <w:rsid w:val="00D54F3E"/>
    <w:rsid w:val="00D5668B"/>
    <w:rsid w:val="00D56FAC"/>
    <w:rsid w:val="00D577DE"/>
    <w:rsid w:val="00D633F3"/>
    <w:rsid w:val="00D642DC"/>
    <w:rsid w:val="00D6641D"/>
    <w:rsid w:val="00D66B2C"/>
    <w:rsid w:val="00D7202D"/>
    <w:rsid w:val="00D725A0"/>
    <w:rsid w:val="00D774D0"/>
    <w:rsid w:val="00D8038E"/>
    <w:rsid w:val="00D8155D"/>
    <w:rsid w:val="00D81FB6"/>
    <w:rsid w:val="00D83F1C"/>
    <w:rsid w:val="00D861FC"/>
    <w:rsid w:val="00D8629F"/>
    <w:rsid w:val="00D8730A"/>
    <w:rsid w:val="00D90790"/>
    <w:rsid w:val="00D93EDB"/>
    <w:rsid w:val="00D94E26"/>
    <w:rsid w:val="00D957BB"/>
    <w:rsid w:val="00D95DD3"/>
    <w:rsid w:val="00DA68A8"/>
    <w:rsid w:val="00DA70F8"/>
    <w:rsid w:val="00DB093B"/>
    <w:rsid w:val="00DB5E37"/>
    <w:rsid w:val="00DC1224"/>
    <w:rsid w:val="00DC3D9F"/>
    <w:rsid w:val="00DC58B9"/>
    <w:rsid w:val="00DC6071"/>
    <w:rsid w:val="00DD1E56"/>
    <w:rsid w:val="00DD2969"/>
    <w:rsid w:val="00DD3967"/>
    <w:rsid w:val="00DD6439"/>
    <w:rsid w:val="00DD7602"/>
    <w:rsid w:val="00DE4E56"/>
    <w:rsid w:val="00DE5645"/>
    <w:rsid w:val="00DE5B57"/>
    <w:rsid w:val="00DE64DC"/>
    <w:rsid w:val="00DF431F"/>
    <w:rsid w:val="00DF76CC"/>
    <w:rsid w:val="00E02E3F"/>
    <w:rsid w:val="00E05831"/>
    <w:rsid w:val="00E1410F"/>
    <w:rsid w:val="00E24BA7"/>
    <w:rsid w:val="00E30584"/>
    <w:rsid w:val="00E36663"/>
    <w:rsid w:val="00E371DC"/>
    <w:rsid w:val="00E409EF"/>
    <w:rsid w:val="00E4361B"/>
    <w:rsid w:val="00E45914"/>
    <w:rsid w:val="00E50E9F"/>
    <w:rsid w:val="00E51704"/>
    <w:rsid w:val="00E52668"/>
    <w:rsid w:val="00E52C01"/>
    <w:rsid w:val="00E55109"/>
    <w:rsid w:val="00E55E4C"/>
    <w:rsid w:val="00E56EB0"/>
    <w:rsid w:val="00E628E6"/>
    <w:rsid w:val="00E71116"/>
    <w:rsid w:val="00E72B60"/>
    <w:rsid w:val="00E828B2"/>
    <w:rsid w:val="00E8466C"/>
    <w:rsid w:val="00E86DD1"/>
    <w:rsid w:val="00E916ED"/>
    <w:rsid w:val="00E91B82"/>
    <w:rsid w:val="00E94CE8"/>
    <w:rsid w:val="00E95CD0"/>
    <w:rsid w:val="00E96A79"/>
    <w:rsid w:val="00EA1403"/>
    <w:rsid w:val="00EA28E3"/>
    <w:rsid w:val="00EA2A42"/>
    <w:rsid w:val="00EA3F1F"/>
    <w:rsid w:val="00EA51B4"/>
    <w:rsid w:val="00EA7D32"/>
    <w:rsid w:val="00EB26CA"/>
    <w:rsid w:val="00EB61A7"/>
    <w:rsid w:val="00EC042C"/>
    <w:rsid w:val="00EC168D"/>
    <w:rsid w:val="00EC4F5B"/>
    <w:rsid w:val="00ED1C4C"/>
    <w:rsid w:val="00ED43E2"/>
    <w:rsid w:val="00ED4FDD"/>
    <w:rsid w:val="00ED5617"/>
    <w:rsid w:val="00ED6190"/>
    <w:rsid w:val="00ED6DA8"/>
    <w:rsid w:val="00EE0B8C"/>
    <w:rsid w:val="00EE1422"/>
    <w:rsid w:val="00EE26E3"/>
    <w:rsid w:val="00EE2D61"/>
    <w:rsid w:val="00EE409A"/>
    <w:rsid w:val="00EE47D4"/>
    <w:rsid w:val="00EE4B85"/>
    <w:rsid w:val="00EE55E8"/>
    <w:rsid w:val="00EF0179"/>
    <w:rsid w:val="00EF258F"/>
    <w:rsid w:val="00EF5405"/>
    <w:rsid w:val="00EF5A21"/>
    <w:rsid w:val="00EF6205"/>
    <w:rsid w:val="00EF6262"/>
    <w:rsid w:val="00F04C87"/>
    <w:rsid w:val="00F06DD2"/>
    <w:rsid w:val="00F15A9C"/>
    <w:rsid w:val="00F17B75"/>
    <w:rsid w:val="00F202D1"/>
    <w:rsid w:val="00F20BEA"/>
    <w:rsid w:val="00F22884"/>
    <w:rsid w:val="00F253DC"/>
    <w:rsid w:val="00F26FB9"/>
    <w:rsid w:val="00F272B8"/>
    <w:rsid w:val="00F329B8"/>
    <w:rsid w:val="00F3563A"/>
    <w:rsid w:val="00F418F4"/>
    <w:rsid w:val="00F430F6"/>
    <w:rsid w:val="00F515D6"/>
    <w:rsid w:val="00F51EAB"/>
    <w:rsid w:val="00F531FD"/>
    <w:rsid w:val="00F544E9"/>
    <w:rsid w:val="00F5791B"/>
    <w:rsid w:val="00F57A30"/>
    <w:rsid w:val="00F60ECD"/>
    <w:rsid w:val="00F70180"/>
    <w:rsid w:val="00F72675"/>
    <w:rsid w:val="00F728F6"/>
    <w:rsid w:val="00F73613"/>
    <w:rsid w:val="00F74AC5"/>
    <w:rsid w:val="00F77A22"/>
    <w:rsid w:val="00F77B40"/>
    <w:rsid w:val="00F77E00"/>
    <w:rsid w:val="00F77F21"/>
    <w:rsid w:val="00F809CB"/>
    <w:rsid w:val="00F83D25"/>
    <w:rsid w:val="00F861F2"/>
    <w:rsid w:val="00F939DB"/>
    <w:rsid w:val="00F95106"/>
    <w:rsid w:val="00FA569B"/>
    <w:rsid w:val="00FA6763"/>
    <w:rsid w:val="00FA685D"/>
    <w:rsid w:val="00FB0EFF"/>
    <w:rsid w:val="00FB16A4"/>
    <w:rsid w:val="00FB5906"/>
    <w:rsid w:val="00FC0128"/>
    <w:rsid w:val="00FC79FC"/>
    <w:rsid w:val="00FD07B3"/>
    <w:rsid w:val="00FD0DE2"/>
    <w:rsid w:val="00FD0F28"/>
    <w:rsid w:val="00FD19F4"/>
    <w:rsid w:val="00FD3A12"/>
    <w:rsid w:val="00FD7F1E"/>
    <w:rsid w:val="00FE1CD6"/>
    <w:rsid w:val="00FE3D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D4CDF"/>
  <w15:chartTrackingRefBased/>
  <w15:docId w15:val="{BB7A2CDE-7567-4DEC-ACC8-E68B91BD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D4"/>
    <w:rPr>
      <w:sz w:val="24"/>
      <w:szCs w:val="24"/>
      <w:lang w:val="es-ES" w:eastAsia="es-ES"/>
    </w:rPr>
  </w:style>
  <w:style w:type="paragraph" w:styleId="Ttulo1">
    <w:name w:val="heading 1"/>
    <w:basedOn w:val="Normal"/>
    <w:next w:val="Normal"/>
    <w:link w:val="Ttulo1Car"/>
    <w:qFormat/>
    <w:rsid w:val="00A66F16"/>
    <w:pPr>
      <w:keepNext/>
      <w:tabs>
        <w:tab w:val="left" w:pos="4536"/>
      </w:tabs>
      <w:jc w:val="center"/>
      <w:outlineLvl w:val="0"/>
    </w:pPr>
    <w:rPr>
      <w:sz w:val="32"/>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717C"/>
    <w:pPr>
      <w:tabs>
        <w:tab w:val="center" w:pos="4252"/>
        <w:tab w:val="right" w:pos="8504"/>
      </w:tabs>
    </w:pPr>
  </w:style>
  <w:style w:type="paragraph" w:styleId="Piedepgina">
    <w:name w:val="footer"/>
    <w:basedOn w:val="Normal"/>
    <w:link w:val="PiedepginaCar"/>
    <w:uiPriority w:val="99"/>
    <w:rsid w:val="000C717C"/>
    <w:pPr>
      <w:tabs>
        <w:tab w:val="center" w:pos="4252"/>
        <w:tab w:val="right" w:pos="8504"/>
      </w:tabs>
    </w:pPr>
  </w:style>
  <w:style w:type="table" w:styleId="Tablaconcuadrcula">
    <w:name w:val="Table Grid"/>
    <w:basedOn w:val="Tablanormal"/>
    <w:rsid w:val="00A0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828B2"/>
    <w:rPr>
      <w:rFonts w:ascii="Tahoma" w:hAnsi="Tahoma" w:cs="Tahoma"/>
      <w:sz w:val="16"/>
      <w:szCs w:val="16"/>
    </w:rPr>
  </w:style>
  <w:style w:type="character" w:customStyle="1" w:styleId="Ttulo1Car">
    <w:name w:val="Título 1 Car"/>
    <w:link w:val="Ttulo1"/>
    <w:rsid w:val="00A66F16"/>
    <w:rPr>
      <w:sz w:val="32"/>
      <w:lang w:val="es-ES" w:eastAsia="es-ES"/>
    </w:rPr>
  </w:style>
  <w:style w:type="character" w:styleId="Hipervnculo">
    <w:name w:val="Hyperlink"/>
    <w:rsid w:val="002E21AF"/>
    <w:rPr>
      <w:color w:val="0000FF"/>
      <w:u w:val="single"/>
    </w:rPr>
  </w:style>
  <w:style w:type="character" w:customStyle="1" w:styleId="PiedepginaCar">
    <w:name w:val="Pie de página Car"/>
    <w:link w:val="Piedepgina"/>
    <w:uiPriority w:val="99"/>
    <w:rsid w:val="00B037F8"/>
    <w:rPr>
      <w:sz w:val="24"/>
      <w:szCs w:val="24"/>
      <w:lang w:val="es-ES" w:eastAsia="es-ES"/>
    </w:rPr>
  </w:style>
  <w:style w:type="paragraph" w:styleId="Sangradetextonormal">
    <w:name w:val="Body Text Indent"/>
    <w:basedOn w:val="Normal"/>
    <w:link w:val="SangradetextonormalCar"/>
    <w:rsid w:val="000C57B2"/>
    <w:pPr>
      <w:ind w:left="708"/>
    </w:pPr>
    <w:rPr>
      <w:rFonts w:ascii="Arial" w:hAnsi="Arial" w:cs="Arial"/>
    </w:rPr>
  </w:style>
  <w:style w:type="character" w:customStyle="1" w:styleId="SangradetextonormalCar">
    <w:name w:val="Sangría de texto normal Car"/>
    <w:link w:val="Sangradetextonormal"/>
    <w:rsid w:val="000C57B2"/>
    <w:rPr>
      <w:rFonts w:ascii="Arial" w:hAnsi="Arial" w:cs="Arial"/>
      <w:sz w:val="24"/>
      <w:szCs w:val="24"/>
      <w:lang w:val="es-ES" w:eastAsia="es-ES"/>
    </w:rPr>
  </w:style>
  <w:style w:type="paragraph" w:styleId="Textoindependiente3">
    <w:name w:val="Body Text 3"/>
    <w:basedOn w:val="Normal"/>
    <w:link w:val="Textoindependiente3Car"/>
    <w:rsid w:val="000C57B2"/>
    <w:pPr>
      <w:spacing w:after="120"/>
    </w:pPr>
    <w:rPr>
      <w:sz w:val="16"/>
      <w:szCs w:val="16"/>
      <w:lang w:val="es-ES_tradnl"/>
    </w:rPr>
  </w:style>
  <w:style w:type="character" w:customStyle="1" w:styleId="Textoindependiente3Car">
    <w:name w:val="Texto independiente 3 Car"/>
    <w:link w:val="Textoindependiente3"/>
    <w:rsid w:val="000C57B2"/>
    <w:rPr>
      <w:sz w:val="16"/>
      <w:szCs w:val="16"/>
      <w:lang w:val="es-ES_tradnl" w:eastAsia="es-ES"/>
    </w:rPr>
  </w:style>
  <w:style w:type="paragraph" w:styleId="Prrafodelista">
    <w:name w:val="List Paragraph"/>
    <w:basedOn w:val="Normal"/>
    <w:uiPriority w:val="34"/>
    <w:qFormat/>
    <w:rsid w:val="003A2C30"/>
    <w:pPr>
      <w:ind w:left="720"/>
      <w:contextualSpacing/>
    </w:pPr>
  </w:style>
  <w:style w:type="paragraph" w:customStyle="1" w:styleId="TableParagraph">
    <w:name w:val="Table Paragraph"/>
    <w:basedOn w:val="Normal"/>
    <w:uiPriority w:val="1"/>
    <w:qFormat/>
    <w:rsid w:val="003F1254"/>
    <w:pPr>
      <w:widowControl w:val="0"/>
      <w:autoSpaceDE w:val="0"/>
      <w:autoSpaceDN w:val="0"/>
      <w:spacing w:before="56"/>
      <w:ind w:left="88" w:right="90"/>
      <w:jc w:val="center"/>
    </w:pPr>
    <w:rPr>
      <w:sz w:val="22"/>
      <w:szCs w:val="22"/>
      <w:lang w:val="en-US" w:eastAsia="en-US"/>
    </w:rPr>
  </w:style>
  <w:style w:type="paragraph" w:styleId="NormalWeb">
    <w:name w:val="Normal (Web)"/>
    <w:basedOn w:val="Normal"/>
    <w:uiPriority w:val="99"/>
    <w:unhideWhenUsed/>
    <w:rsid w:val="00B23559"/>
    <w:pPr>
      <w:spacing w:before="100" w:beforeAutospacing="1" w:after="100" w:afterAutospacing="1"/>
    </w:pPr>
    <w:rPr>
      <w:lang w:val="es-SV" w:eastAsia="es-SV"/>
    </w:rPr>
  </w:style>
  <w:style w:type="character" w:styleId="nfasis">
    <w:name w:val="Emphasis"/>
    <w:uiPriority w:val="20"/>
    <w:qFormat/>
    <w:rsid w:val="00B23559"/>
    <w:rPr>
      <w:i/>
      <w:iCs/>
    </w:rPr>
  </w:style>
  <w:style w:type="paragraph" w:styleId="Sinespaciado">
    <w:name w:val="No Spacing"/>
    <w:uiPriority w:val="1"/>
    <w:qFormat/>
    <w:rsid w:val="00F77B40"/>
    <w:rPr>
      <w:rFonts w:ascii="Calibri" w:eastAsia="Calibri" w:hAnsi="Calibri"/>
      <w:sz w:val="22"/>
      <w:szCs w:val="22"/>
      <w:lang w:eastAsia="en-US"/>
    </w:rPr>
  </w:style>
  <w:style w:type="paragraph" w:customStyle="1" w:styleId="Default">
    <w:name w:val="Default"/>
    <w:rsid w:val="00677C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924">
      <w:bodyDiv w:val="1"/>
      <w:marLeft w:val="0"/>
      <w:marRight w:val="0"/>
      <w:marTop w:val="0"/>
      <w:marBottom w:val="0"/>
      <w:divBdr>
        <w:top w:val="none" w:sz="0" w:space="0" w:color="auto"/>
        <w:left w:val="none" w:sz="0" w:space="0" w:color="auto"/>
        <w:bottom w:val="none" w:sz="0" w:space="0" w:color="auto"/>
        <w:right w:val="none" w:sz="0" w:space="0" w:color="auto"/>
      </w:divBdr>
      <w:divsChild>
        <w:div w:id="838884922">
          <w:marLeft w:val="547"/>
          <w:marRight w:val="0"/>
          <w:marTop w:val="0"/>
          <w:marBottom w:val="0"/>
          <w:divBdr>
            <w:top w:val="none" w:sz="0" w:space="0" w:color="auto"/>
            <w:left w:val="none" w:sz="0" w:space="0" w:color="auto"/>
            <w:bottom w:val="none" w:sz="0" w:space="0" w:color="auto"/>
            <w:right w:val="none" w:sz="0" w:space="0" w:color="auto"/>
          </w:divBdr>
        </w:div>
      </w:divsChild>
    </w:div>
    <w:div w:id="53088546">
      <w:bodyDiv w:val="1"/>
      <w:marLeft w:val="0"/>
      <w:marRight w:val="0"/>
      <w:marTop w:val="0"/>
      <w:marBottom w:val="0"/>
      <w:divBdr>
        <w:top w:val="none" w:sz="0" w:space="0" w:color="auto"/>
        <w:left w:val="none" w:sz="0" w:space="0" w:color="auto"/>
        <w:bottom w:val="none" w:sz="0" w:space="0" w:color="auto"/>
        <w:right w:val="none" w:sz="0" w:space="0" w:color="auto"/>
      </w:divBdr>
      <w:divsChild>
        <w:div w:id="1904172649">
          <w:marLeft w:val="706"/>
          <w:marRight w:val="0"/>
          <w:marTop w:val="264"/>
          <w:marBottom w:val="264"/>
          <w:divBdr>
            <w:top w:val="none" w:sz="0" w:space="0" w:color="auto"/>
            <w:left w:val="none" w:sz="0" w:space="0" w:color="auto"/>
            <w:bottom w:val="none" w:sz="0" w:space="0" w:color="auto"/>
            <w:right w:val="none" w:sz="0" w:space="0" w:color="auto"/>
          </w:divBdr>
        </w:div>
      </w:divsChild>
    </w:div>
    <w:div w:id="166099801">
      <w:bodyDiv w:val="1"/>
      <w:marLeft w:val="0"/>
      <w:marRight w:val="0"/>
      <w:marTop w:val="0"/>
      <w:marBottom w:val="0"/>
      <w:divBdr>
        <w:top w:val="none" w:sz="0" w:space="0" w:color="auto"/>
        <w:left w:val="none" w:sz="0" w:space="0" w:color="auto"/>
        <w:bottom w:val="none" w:sz="0" w:space="0" w:color="auto"/>
        <w:right w:val="none" w:sz="0" w:space="0" w:color="auto"/>
      </w:divBdr>
    </w:div>
    <w:div w:id="185171491">
      <w:bodyDiv w:val="1"/>
      <w:marLeft w:val="0"/>
      <w:marRight w:val="0"/>
      <w:marTop w:val="0"/>
      <w:marBottom w:val="0"/>
      <w:divBdr>
        <w:top w:val="none" w:sz="0" w:space="0" w:color="auto"/>
        <w:left w:val="none" w:sz="0" w:space="0" w:color="auto"/>
        <w:bottom w:val="none" w:sz="0" w:space="0" w:color="auto"/>
        <w:right w:val="none" w:sz="0" w:space="0" w:color="auto"/>
      </w:divBdr>
    </w:div>
    <w:div w:id="524683922">
      <w:bodyDiv w:val="1"/>
      <w:marLeft w:val="0"/>
      <w:marRight w:val="0"/>
      <w:marTop w:val="0"/>
      <w:marBottom w:val="0"/>
      <w:divBdr>
        <w:top w:val="none" w:sz="0" w:space="0" w:color="auto"/>
        <w:left w:val="none" w:sz="0" w:space="0" w:color="auto"/>
        <w:bottom w:val="none" w:sz="0" w:space="0" w:color="auto"/>
        <w:right w:val="none" w:sz="0" w:space="0" w:color="auto"/>
      </w:divBdr>
    </w:div>
    <w:div w:id="1313488118">
      <w:bodyDiv w:val="1"/>
      <w:marLeft w:val="0"/>
      <w:marRight w:val="0"/>
      <w:marTop w:val="0"/>
      <w:marBottom w:val="0"/>
      <w:divBdr>
        <w:top w:val="none" w:sz="0" w:space="0" w:color="auto"/>
        <w:left w:val="none" w:sz="0" w:space="0" w:color="auto"/>
        <w:bottom w:val="none" w:sz="0" w:space="0" w:color="auto"/>
        <w:right w:val="none" w:sz="0" w:space="0" w:color="auto"/>
      </w:divBdr>
      <w:divsChild>
        <w:div w:id="2058890348">
          <w:marLeft w:val="547"/>
          <w:marRight w:val="0"/>
          <w:marTop w:val="158"/>
          <w:marBottom w:val="0"/>
          <w:divBdr>
            <w:top w:val="none" w:sz="0" w:space="0" w:color="auto"/>
            <w:left w:val="none" w:sz="0" w:space="0" w:color="auto"/>
            <w:bottom w:val="none" w:sz="0" w:space="0" w:color="auto"/>
            <w:right w:val="none" w:sz="0" w:space="0" w:color="auto"/>
          </w:divBdr>
        </w:div>
      </w:divsChild>
    </w:div>
    <w:div w:id="1397902077">
      <w:bodyDiv w:val="1"/>
      <w:marLeft w:val="0"/>
      <w:marRight w:val="0"/>
      <w:marTop w:val="0"/>
      <w:marBottom w:val="0"/>
      <w:divBdr>
        <w:top w:val="none" w:sz="0" w:space="0" w:color="auto"/>
        <w:left w:val="none" w:sz="0" w:space="0" w:color="auto"/>
        <w:bottom w:val="none" w:sz="0" w:space="0" w:color="auto"/>
        <w:right w:val="none" w:sz="0" w:space="0" w:color="auto"/>
      </w:divBdr>
    </w:div>
    <w:div w:id="1474252585">
      <w:bodyDiv w:val="1"/>
      <w:marLeft w:val="0"/>
      <w:marRight w:val="0"/>
      <w:marTop w:val="0"/>
      <w:marBottom w:val="0"/>
      <w:divBdr>
        <w:top w:val="none" w:sz="0" w:space="0" w:color="auto"/>
        <w:left w:val="none" w:sz="0" w:space="0" w:color="auto"/>
        <w:bottom w:val="none" w:sz="0" w:space="0" w:color="auto"/>
        <w:right w:val="none" w:sz="0" w:space="0" w:color="auto"/>
      </w:divBdr>
    </w:div>
    <w:div w:id="1559585536">
      <w:bodyDiv w:val="1"/>
      <w:marLeft w:val="0"/>
      <w:marRight w:val="0"/>
      <w:marTop w:val="0"/>
      <w:marBottom w:val="0"/>
      <w:divBdr>
        <w:top w:val="none" w:sz="0" w:space="0" w:color="auto"/>
        <w:left w:val="none" w:sz="0" w:space="0" w:color="auto"/>
        <w:bottom w:val="none" w:sz="0" w:space="0" w:color="auto"/>
        <w:right w:val="none" w:sz="0" w:space="0" w:color="auto"/>
      </w:divBdr>
    </w:div>
    <w:div w:id="2039237607">
      <w:bodyDiv w:val="1"/>
      <w:marLeft w:val="0"/>
      <w:marRight w:val="0"/>
      <w:marTop w:val="0"/>
      <w:marBottom w:val="0"/>
      <w:divBdr>
        <w:top w:val="none" w:sz="0" w:space="0" w:color="auto"/>
        <w:left w:val="none" w:sz="0" w:space="0" w:color="auto"/>
        <w:bottom w:val="none" w:sz="0" w:space="0" w:color="auto"/>
        <w:right w:val="none" w:sz="0" w:space="0" w:color="auto"/>
      </w:divBdr>
    </w:div>
    <w:div w:id="21384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ermeno\Datos%20de%20programa\Microsoft\Plantillas\NOTAS%20%202004%20PLANTILLA%20LOG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AE3C-26A7-4FE4-8421-8DB1661C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NOTAS  2004 PLANTILLA LOGOS</Template>
  <TotalTime>1</TotalTime>
  <Pages>7</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Armando Guardado Orellana</dc:creator>
  <cp:keywords/>
  <cp:lastModifiedBy>Roberto Armando Guardado Orellana</cp:lastModifiedBy>
  <cp:revision>2</cp:revision>
  <cp:lastPrinted>2018-11-08T01:33:00Z</cp:lastPrinted>
  <dcterms:created xsi:type="dcterms:W3CDTF">2018-11-19T15:05:00Z</dcterms:created>
  <dcterms:modified xsi:type="dcterms:W3CDTF">2018-11-19T15:05:00Z</dcterms:modified>
</cp:coreProperties>
</file>